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3.png" ContentType="image/png"/>
  <Override PartName="/word/media/rId30.png" ContentType="image/png"/>
  <Override PartName="/word/media/rId47.png" ContentType="image/png"/>
  <Override PartName="/word/media/rId76.png" ContentType="image/png"/>
  <Override PartName="/word/media/rId72.png" ContentType="image/png"/>
  <Override PartName="/word/media/rId87.png" ContentType="image/png"/>
  <Override PartName="/word/media/rId101.png" ContentType="image/png"/>
  <Override PartName="/word/media/rId105.png" ContentType="image/png"/>
  <Override PartName="/word/media/rId92.png" ContentType="image/png"/>
  <Override PartName="/word/media/rId96.png" ContentType="image/png"/>
  <Override PartName="/word/media/rId81.png" ContentType="image/png"/>
  <Override PartName="/word/media/rId84.png" ContentType="image/png"/>
  <Override PartName="/word/media/rId122.png" ContentType="image/png"/>
  <Override PartName="/word/media/rId137.png" ContentType="image/png"/>
  <Override PartName="/word/media/rId117.png" ContentType="image/png"/>
  <Override PartName="/word/media/rId132.png" ContentType="image/png"/>
  <Override PartName="/word/media/rId128.png" ContentType="image/png"/>
  <Override PartName="/word/media/rId113.png" ContentType="image/png"/>
  <Override PartName="/word/media/rId153.png" ContentType="image/png"/>
  <Override PartName="/word/media/rId171.png" ContentType="image/png"/>
  <Override PartName="/word/media/rId144.png" ContentType="image/png"/>
  <Override PartName="/word/media/rId163.png" ContentType="image/png"/>
  <Override PartName="/word/media/rId158.png" ContentType="image/png"/>
  <Override PartName="/word/media/rId148.png" ContentType="image/png"/>
  <Override PartName="/word/media/rId215.png" ContentType="image/png"/>
  <Override PartName="/word/media/rId220.png" ContentType="image/png"/>
  <Override PartName="/word/media/rId185.png" ContentType="image/png"/>
  <Override PartName="/word/media/rId189.png" ContentType="image/png"/>
  <Override PartName="/word/media/rId178.png" ContentType="image/png"/>
  <Override PartName="/word/media/rId195.png" ContentType="image/png"/>
  <Override PartName="/word/media/rId204.png" ContentType="image/png"/>
  <Override PartName="/word/media/rId200.png" ContentType="image/png"/>
  <Override PartName="/word/media/rId210.png" ContentType="image/png"/>
  <Override PartName="/word/media/rId1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r>
        <w:t xml:space="preserve"> </w:t>
      </w:r>
      <w:r>
        <w:t xml:space="preserve">in</w:t>
      </w:r>
      <w:r>
        <w:t xml:space="preserve"> </w:t>
      </w:r>
      <w:r>
        <w:t xml:space="preserve">Brazil</w:t>
      </w:r>
      <w:r>
        <w:t xml:space="preserve"> </w:t>
      </w:r>
      <w:r>
        <w:t xml:space="preserve">and</w:t>
      </w:r>
      <w:r>
        <w:t xml:space="preserve"> </w:t>
      </w:r>
      <w:r>
        <w:t xml:space="preserve">Europe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third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br/>
      </w:r>
      <w:r>
        <w:t xml:space="preserve">Performance Review Unit, EUROCONTROL</w:t>
      </w:r>
    </w:p>
    <w:p>
      <w:pPr>
        <w:pStyle w:val="BodyText"/>
      </w:pPr>
      <w:r>
        <w:t xml:space="preserve">$$\\[3cm]$$</w:t>
      </w:r>
    </w:p>
    <w:bookmarkEnd w:id="20"/>
    <w:bookmarkStart w:id="27" w:name="foreword"/>
    <w:p>
      <w:pPr>
        <w:pStyle w:val="Heading1"/>
      </w:pPr>
      <w:r>
        <w:t xml:space="preserve">Foreword</w:t>
      </w:r>
    </w:p>
    <w:p>
      <w:pPr>
        <w:pStyle w:val="FirstParagraph"/>
      </w:pPr>
      <w:r>
        <w:t xml:space="preserve">$$\\[1in]$$</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692203"/>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6922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third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p>
    <w:p>
      <w:pPr>
        <w:numPr>
          <w:ilvl w:val="0"/>
          <w:numId w:val="1001"/>
        </w:numPr>
        <w:pStyle w:val="Compact"/>
      </w:pPr>
      <w:hyperlink r:id="rId28">
        <w:r>
          <w:rPr>
            <w:rStyle w:val="Hyperlink"/>
          </w:rPr>
          <w:t xml:space="preserve">https://ansperformance.eu/global/brazil</w:t>
        </w:r>
      </w:hyperlink>
      <w:r>
        <w:t xml:space="preserve"> </w:t>
      </w:r>
      <w:r>
        <w:t xml:space="preserve">or</w:t>
      </w:r>
    </w:p>
    <w:p>
      <w:pPr>
        <w:numPr>
          <w:ilvl w:val="0"/>
          <w:numId w:val="1001"/>
        </w:numPr>
        <w:pStyle w:val="Compact"/>
      </w:pPr>
      <w:hyperlink r:id="rId29">
        <w:r>
          <w:rPr>
            <w:rStyle w:val="Hyperlink"/>
          </w:rPr>
          <w:t xml:space="preserve">https://performance.decea.mil.br/</w:t>
        </w:r>
      </w:hyperlink>
      <w:r>
        <w:t xml:space="preserve">.</w:t>
      </w:r>
    </w:p>
    <w:p>
      <w:pPr>
        <w:pStyle w:val="FirstParagraph"/>
      </w:pPr>
      <w:r>
        <w:t xml:space="preserve">This report updates the earlier editions and assessment of the operational air navigation system performance in both regions, Brazil and Europe, extending the time frame and incorporating additional analyses.</w:t>
      </w:r>
      <w:r>
        <w:t xml:space="preserve"> </w:t>
      </w:r>
      <w:r>
        <w:t xml:space="preserve">This edition focuses on a subset of the eleven Key Performance Areas identified by the ICAO Global Air Navigation Plan,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2"/>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2"/>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2"/>
        </w:numPr>
        <w:pStyle w:val="Compact"/>
      </w:pPr>
      <w:r>
        <w:t xml:space="preserve">In 2022/2023, the commercial flight distribution reveals that a smaller number of airports manage 80% of commercial takeoffs, with Brazil showing a slightly greater concentration compared to Europe.</w:t>
      </w:r>
      <w:r>
        <w:t xml:space="preserve"> </w:t>
      </w:r>
    </w:p>
    <w:p>
      <w:pPr>
        <w:numPr>
          <w:ilvl w:val="0"/>
          <w:numId w:val="1002"/>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2022/2023. Conversely, the documented challenges of European airports in coping with the recovering traffic demand in 2022 highlighted the repercussions of their lower preparedness levels.</w:t>
      </w:r>
    </w:p>
    <w:p>
      <w:pPr>
        <w:numPr>
          <w:ilvl w:val="0"/>
          <w:numId w:val="1002"/>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2"/>
        </w:numPr>
        <w:pStyle w:val="Compact"/>
      </w:pPr>
      <w:r>
        <w:t xml:space="preserve">The expanded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of the additional time from 2021 to 2022/2023 in multiple airports implies that operational constraints and a higher level of sequencing resurface as demand increases.</w:t>
      </w:r>
    </w:p>
    <w:p>
      <w:pPr>
        <w:pStyle w:val="FirstParagraph"/>
      </w:pPr>
      <w:r>
        <w:t xml:space="preserve">This report will be updated throughout the coming years under the umbrella of the DECEA-EUROCONTROL memorandum of cooperation.</w:t>
      </w:r>
      <w:r>
        <w:t xml:space="preserve"> </w:t>
      </w:r>
      <w:r>
        <w:t xml:space="preserve">It is also planned to establish a web-based rolling monitoring updated on a regular basis.</w:t>
      </w:r>
    </w:p>
    <w:p>
      <w:pPr>
        <w:pStyle w:val="BodyText"/>
      </w:pPr>
      <w:r>
        <w:t xml:space="preserve">Future editions will complement the data time series and support the development of further use-case analyses.</w:t>
      </w:r>
      <w:r>
        <w:t xml:space="preserve"> </w:t>
      </w:r>
      <w:r>
        <w:t xml:space="preserve">The lessons learnt of this joint project will be coordinated with the multi-national Performance Benchmarking Working Group and the ICAO GANP Study sub-group concerned with the further development of the GANP Key Performance Indicators.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41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2023.</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3"/>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3"/>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3"/>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3"/>
        </w:numPr>
        <w:pStyle w:val="Compact"/>
      </w:pPr>
      <w:r>
        <w:rPr>
          <w:bCs/>
          <w:b/>
        </w:rPr>
        <w:t xml:space="preserve">Predictability</w:t>
      </w:r>
      <w:r>
        <w:t xml:space="preserve"> </w:t>
      </w:r>
      <w:r>
        <w:t xml:space="preserve">observed arrival and departure punctuality;</w:t>
      </w:r>
    </w:p>
    <w:p>
      <w:pPr>
        <w:numPr>
          <w:ilvl w:val="0"/>
          <w:numId w:val="1003"/>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3"/>
        </w:numPr>
        <w:pStyle w:val="Compact"/>
      </w:pPr>
      <w:r>
        <w:rPr>
          <w:bCs/>
          <w:b/>
        </w:rPr>
        <w:t xml:space="preserve">Efficiency</w:t>
      </w:r>
      <w:r>
        <w:t xml:space="preserve"> </w:t>
      </w:r>
      <w:r>
        <w:t xml:space="preserve">analysis of taxi-in, taxi-out, and terminal airspace operations; and</w:t>
      </w:r>
    </w:p>
    <w:p>
      <w:pPr>
        <w:numPr>
          <w:ilvl w:val="0"/>
          <w:numId w:val="1003"/>
        </w:numPr>
        <w:pStyle w:val="Compact"/>
      </w:pPr>
      <w:r>
        <w:rPr>
          <w:bCs/>
          <w:b/>
        </w:rPr>
        <w:t xml:space="preserve">Conclusions</w:t>
      </w:r>
      <w:r>
        <w:t xml:space="preserve"> </w:t>
      </w:r>
      <w:r>
        <w:t xml:space="preserve">summary of this report and associated conclusions; and next steps.</w:t>
      </w:r>
    </w:p>
    <w:bookmarkEnd w:id="56"/>
    <w:bookmarkEnd w:id="57"/>
    <w:bookmarkStart w:id="71"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42 Approach Units (APP) and 84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67" w:name="high-level-system-comparison"/>
    <w:p>
      <w:pPr>
        <w:pStyle w:val="Heading2"/>
      </w:pPr>
      <w:r>
        <w:t xml:space="preserve">2.2 High Level System Comparison</w:t>
      </w:r>
    </w:p>
    <w:p>
      <w:pPr>
        <w:pStyle w:val="FirstParagraph"/>
      </w:pPr>
      <w:hyperlink w:anchor="tbl-HLC2022">
        <w:r>
          <w:rPr>
            <w:rStyle w:val="Hyperlink"/>
          </w:rPr>
          <w:t xml:space="preserve">Table 2.1</w:t>
        </w:r>
      </w:hyperlink>
      <w:r>
        <w:t xml:space="preserve"> </w:t>
      </w:r>
      <w:r>
        <w:t xml:space="preserve">summarises the key characteristics of the Brazilian and European air navigation system for 2023.</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tbl-HLC2022"/>
          <w:p>
            <w:pPr>
              <w:jc w:val="center"/>
            </w:pPr>
            <w:pPr>
              <w:jc w:val="start"/>
              <w:spacing w:before="200"/>
              <w:pStyle w:val="ImageCaption"/>
            </w:pPr>
            <w:r>
              <w:t xml:space="preserve">Table 2.1: High Level Comparison 2023</w:t>
            </w:r>
          </w:p>
          <w:p>
            <w:pPr>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W w:type="pct" w:w="5000"/>
        <w:tblLook w:firstRow="0" w:lastRow="0" w:firstColumn="0" w:lastColumn="0" w:noHBand="0" w:noVBand="0" w:val="0000"/>
        <w:jc w:val="start"/>
        <w:tblLayout w:type="fixed"/>
      </w:tblPr>
      <w:tblGrid>
        <w:gridCol w:w="7920"/>
      </w:tblGrid>
      <w:tr>
        <w:tc>
          <w:tcPr/>
          <w:bookmarkStart w:id="66" w:name="fig-Apt-Rank-Comparison2022"/>
          <w:p>
            <w:pPr>
              <w:pStyle w:val="Compact"/>
              <w:jc w:val="center"/>
            </w:pPr>
            <w:r>
              <w:drawing>
                <wp:inline>
                  <wp:extent cx="4800600" cy="2962656"/>
                  <wp:effectExtent b="0" l="0" r="0" t="0"/>
                  <wp:docPr descr="" title="" id="64" name="Picture"/>
                  <a:graphic>
                    <a:graphicData uri="http://schemas.openxmlformats.org/drawingml/2006/picture">
                      <pic:pic>
                        <pic:nvPicPr>
                          <pic:cNvPr descr="./figures/p_cumsum_tot.png" id="65" name="Picture"/>
                          <pic:cNvPicPr>
                            <a:picLocks noChangeArrowheads="1" noChangeAspect="1"/>
                          </pic:cNvPicPr>
                        </pic:nvPicPr>
                        <pic:blipFill>
                          <a:blip r:embed="rId63"/>
                          <a:stretch>
                            <a:fillRect/>
                          </a:stretch>
                        </pic:blipFill>
                        <pic:spPr bwMode="auto">
                          <a:xfrm>
                            <a:off x="0" y="0"/>
                            <a:ext cx="4800600" cy="2962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Airport Rank Comparison 2022</w:t>
            </w:r>
          </w:p>
          <w:bookmarkEnd w:id="66"/>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2">
        <w:r>
          <w:rPr>
            <w:rStyle w:val="Hyperlink"/>
          </w:rPr>
          <w:t xml:space="preserve">Figure 2.1</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2">
        <w:r>
          <w:rPr>
            <w:rStyle w:val="Hyperlink"/>
          </w:rPr>
          <w:t xml:space="preserve">Figure 2.1</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67"/>
    <w:bookmarkStart w:id="69"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68">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69"/>
    <w:bookmarkStart w:id="70"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0"/>
    <w:bookmarkEnd w:id="71"/>
    <w:bookmarkStart w:id="112"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0"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5" w:name="fig-annual-traffic-timeline"/>
          <w:p>
            <w:pPr>
              <w:pStyle w:val="Compact"/>
              <w:jc w:val="center"/>
            </w:pPr>
            <w:r>
              <w:drawing>
                <wp:inline>
                  <wp:extent cx="5334000" cy="4267200"/>
                  <wp:effectExtent b="0" l="0" r="0" t="0"/>
                  <wp:docPr descr="" title="" id="73" name="Picture"/>
                  <a:graphic>
                    <a:graphicData uri="http://schemas.openxmlformats.org/drawingml/2006/picture">
                      <pic:pic>
                        <pic:nvPicPr>
                          <pic:cNvPr descr="03-traffic_characterisation_files/figure-docx/fig-annual-traffic-timeline-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5"/>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 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79" w:name="fig-annual-network"/>
          <w:p>
            <w:pPr>
              <w:pStyle w:val="Compact"/>
              <w:jc w:val="center"/>
            </w:pPr>
            <w:r>
              <w:drawing>
                <wp:inline>
                  <wp:extent cx="5334000" cy="4267200"/>
                  <wp:effectExtent b="0" l="0" r="0" t="0"/>
                  <wp:docPr descr="" title="" id="77" name="Picture"/>
                  <a:graphic>
                    <a:graphicData uri="http://schemas.openxmlformats.org/drawingml/2006/picture">
                      <pic:pic>
                        <pic:nvPicPr>
                          <pic:cNvPr descr="03-traffic_characterisation_files/figure-docx/fig-annual-network-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79"/>
        </w:tc>
      </w:tr>
    </w:tbl>
    <w:p>
      <w:pPr>
        <w:numPr>
          <w:ilvl w:val="0"/>
          <w:numId w:val="1004"/>
        </w:numPr>
        <w:pStyle w:val="Compact"/>
      </w:pPr>
      <w:r>
        <w:t xml:space="preserve">For Brazil, traffic in the first half of 2023 exceeded the pre-pandemic traffic level</w:t>
      </w:r>
    </w:p>
    <w:p>
      <w:pPr>
        <w:numPr>
          <w:ilvl w:val="0"/>
          <w:numId w:val="1004"/>
        </w:numPr>
        <w:pStyle w:val="Compact"/>
      </w:pPr>
      <w:r>
        <w:t xml:space="preserve">On a network level, the continual recovery of the traffic is on-going in Europe.</w:t>
      </w:r>
    </w:p>
    <w:p>
      <w:pPr>
        <w:numPr>
          <w:ilvl w:val="0"/>
          <w:numId w:val="1004"/>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0"/>
    <w:bookmarkStart w:id="91"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2" name="Picture"/>
            <a:graphic>
              <a:graphicData uri="http://schemas.openxmlformats.org/drawingml/2006/picture">
                <pic:pic>
                  <pic:nvPicPr>
                    <pic:cNvPr descr="03-traffic_characterisation_files/figure-docx/unnamed-chunk-7-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85" name="Picture"/>
            <a:graphic>
              <a:graphicData uri="http://schemas.openxmlformats.org/drawingml/2006/picture">
                <pic:pic>
                  <pic:nvPicPr>
                    <pic:cNvPr descr="03-traffic_characterisation_files/figure-docx/unnamed-chunk-9-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 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0" w:name="fig-apt-annual-change"/>
          <w:p>
            <w:pPr>
              <w:pStyle w:val="Compact"/>
              <w:jc w:val="center"/>
            </w:pPr>
            <w:r>
              <w:drawing>
                <wp:inline>
                  <wp:extent cx="5334000" cy="4267200"/>
                  <wp:effectExtent b="0" l="0" r="0" t="0"/>
                  <wp:docPr descr="" title="" id="88" name="Picture"/>
                  <a:graphic>
                    <a:graphicData uri="http://schemas.openxmlformats.org/drawingml/2006/picture">
                      <pic:pic>
                        <pic:nvPicPr>
                          <pic:cNvPr descr="03-traffic_characterisation_files/figure-docx/fig-apt-annual-change-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Annual traffic at study airports in 2022 and variation 2022/2019</w:t>
            </w:r>
          </w:p>
          <w:bookmarkEnd w:id="90"/>
        </w:tc>
      </w:tr>
    </w:tbl>
    <w:p>
      <w:pPr>
        <w:pStyle w:val="BodyText"/>
      </w:pPr>
      <w:hyperlink w:anchor="fig-apt-annual-change">
        <w:r>
          <w:rPr>
            <w:rStyle w:val="Hyperlink"/>
          </w:rPr>
          <w:t xml:space="preserve">Figure 3.3</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1"/>
    <w:bookmarkStart w:id="100"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tbl>
      <w:tblPr>
        <w:tblStyle w:val="Table"/>
        <w:tblW w:type="pct" w:w="5000"/>
        <w:tblLook w:firstRow="0" w:lastRow="0" w:firstColumn="0" w:lastColumn="0" w:noHBand="0" w:noVBand="0" w:val="0000"/>
        <w:jc w:val="start"/>
        <w:tblLayout w:type="fixed"/>
      </w:tblPr>
      <w:tblGrid>
        <w:gridCol w:w="7920"/>
      </w:tblGrid>
      <w:tr>
        <w:tc>
          <w:tcPr/>
          <w:bookmarkStart w:id="95" w:name="fig-peak-day"/>
          <w:p>
            <w:pPr>
              <w:pStyle w:val="Compact"/>
              <w:jc w:val="center"/>
            </w:pPr>
            <w:r>
              <w:drawing>
                <wp:inline>
                  <wp:extent cx="5334000" cy="4267200"/>
                  <wp:effectExtent b="0" l="0" r="0" t="0"/>
                  <wp:docPr descr="" title="" id="93" name="Picture"/>
                  <a:graphic>
                    <a:graphicData uri="http://schemas.openxmlformats.org/drawingml/2006/picture">
                      <pic:pic>
                        <pic:nvPicPr>
                          <pic:cNvPr descr="03-traffic_characterisation_files/figure-docx/fig-peak-day-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Airport peak daily traffic</w:t>
            </w:r>
          </w:p>
          <w:bookmarkEnd w:id="95"/>
        </w:tc>
      </w:tr>
    </w:tbl>
    <w:p>
      <w:pPr>
        <w:pStyle w:val="BodyText"/>
      </w:pPr>
      <w:hyperlink w:anchor="fig-peak-day">
        <w:r>
          <w:rPr>
            <w:rStyle w:val="Hyperlink"/>
          </w:rPr>
          <w:t xml:space="preserve">Figure 3.4</w:t>
        </w:r>
      </w:hyperlink>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tbl>
      <w:tblPr>
        <w:tblStyle w:val="Table"/>
        <w:tblW w:type="pct" w:w="5000"/>
        <w:tblLook w:firstRow="0" w:lastRow="0" w:firstColumn="0" w:lastColumn="0" w:noHBand="0" w:noVBand="0" w:val="0000"/>
        <w:jc w:val="start"/>
        <w:tblLayout w:type="fixed"/>
      </w:tblPr>
      <w:tblGrid>
        <w:gridCol w:w="7920"/>
      </w:tblGrid>
      <w:tr>
        <w:tc>
          <w:tcPr/>
          <w:bookmarkStart w:id="99" w:name="fig-timeline-peak-day"/>
          <w:p>
            <w:pPr>
              <w:pStyle w:val="Compact"/>
              <w:jc w:val="center"/>
            </w:pPr>
            <w:r>
              <w:drawing>
                <wp:inline>
                  <wp:extent cx="5334000" cy="4267200"/>
                  <wp:effectExtent b="0" l="0" r="0" t="0"/>
                  <wp:docPr descr="" title="" id="97" name="Picture"/>
                  <a:graphic>
                    <a:graphicData uri="http://schemas.openxmlformats.org/drawingml/2006/picture">
                      <pic:pic>
                        <pic:nvPicPr>
                          <pic:cNvPr descr="03-traffic_characterisation_files/figure-docx/fig-timeline-peak-day-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Evolution of peak-day traffic at study airports</w:t>
            </w:r>
          </w:p>
          <w:bookmarkEnd w:id="99"/>
        </w:tc>
      </w:tr>
    </w:tbl>
    <w:p>
      <w:pPr>
        <w:pStyle w:val="BodyText"/>
      </w:pPr>
      <w:r>
        <w:t xml:space="preserve">The year-to-year change of the peak day traffic between 2019 and 2022 is shown in</w:t>
      </w:r>
      <w:r>
        <w:t xml:space="preserve"> </w:t>
      </w:r>
      <w:hyperlink w:anchor="fig-timeline-peak-day">
        <w:r>
          <w:rPr>
            <w:rStyle w:val="Hyperlink"/>
          </w:rPr>
          <w:t xml:space="preserve">Figure 3.5</w:t>
        </w:r>
      </w:hyperlink>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0"/>
    <w:bookmarkStart w:id="110" w:name="fleet-mix"/>
    <w:p>
      <w:pPr>
        <w:pStyle w:val="Heading2"/>
      </w:pPr>
      <w:r>
        <w:t xml:space="preserve">3.4 Fleet Mix</w:t>
      </w:r>
    </w:p>
    <w:tbl>
      <w:tblPr>
        <w:tblStyle w:val="Table"/>
        <w:tblW w:type="pct" w:w="5000"/>
        <w:tblLook w:firstRow="0" w:lastRow="0" w:firstColumn="0" w:lastColumn="0" w:noHBand="0" w:noVBand="0" w:val="0000"/>
        <w:jc w:val="start"/>
        <w:tblLayout w:type="fixed"/>
      </w:tblPr>
      <w:tblGrid>
        <w:gridCol w:w="7920"/>
      </w:tblGrid>
      <w:tr>
        <w:tc>
          <w:tcPr/>
          <w:bookmarkStart w:id="104" w:name="fig-fleet-mix"/>
          <w:p>
            <w:pPr>
              <w:pStyle w:val="Compact"/>
              <w:jc w:val="center"/>
            </w:pPr>
            <w:r>
              <w:drawing>
                <wp:inline>
                  <wp:extent cx="5334000" cy="4267200"/>
                  <wp:effectExtent b="0" l="0" r="0" t="0"/>
                  <wp:docPr descr="" title="" id="102" name="Picture"/>
                  <a:graphic>
                    <a:graphicData uri="http://schemas.openxmlformats.org/drawingml/2006/picture">
                      <pic:pic>
                        <pic:nvPicPr>
                          <pic:cNvPr descr="03-traffic_characterisation_files/figure-docx/fig-fleet-mix-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Fleet mix observed at the study airports in 2023</w:t>
            </w:r>
          </w:p>
          <w:bookmarkEnd w:id="104"/>
        </w:tc>
      </w:tr>
    </w:tbl>
    <w:p>
      <w:pPr>
        <w:pStyle w:val="BodyText"/>
      </w:pPr>
      <w:hyperlink w:anchor="fig-fleet-mix">
        <w:r>
          <w:rPr>
            <w:rStyle w:val="Hyperlink"/>
          </w:rPr>
          <w:t xml:space="preserve">Figure 3.6</w:t>
        </w:r>
      </w:hyperlink>
      <w:r>
        <w:t xml:space="preserve"> </w:t>
      </w:r>
      <w:r>
        <w:t xml:space="preserve">depicts the observed share of different wake turbulence categories (WTC) across the study airports in 2022.</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8" w:name="fig-fleetmix-timeline"/>
          <w:p>
            <w:pPr>
              <w:pStyle w:val="Compact"/>
              <w:jc w:val="center"/>
            </w:pPr>
            <w:r>
              <w:drawing>
                <wp:inline>
                  <wp:extent cx="5334000" cy="6400800"/>
                  <wp:effectExtent b="0" l="0" r="0" t="0"/>
                  <wp:docPr descr="" title="" id="106" name="Picture"/>
                  <a:graphic>
                    <a:graphicData uri="http://schemas.openxmlformats.org/drawingml/2006/picture">
                      <pic:pic>
                        <pic:nvPicPr>
                          <pic:cNvPr descr="03-traffic_characterisation_files/figure-docx/fig-fleetmix-timeline-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Fleet mix change over time observed at study airports</w:t>
            </w:r>
          </w:p>
          <w:bookmarkEnd w:id="108"/>
        </w:tc>
      </w:tr>
    </w:tbl>
    <w:p>
      <w:pPr>
        <w:pStyle w:val="BodyText"/>
      </w:pPr>
      <w:r>
        <w:t xml:space="preserve">On average,</w:t>
      </w:r>
      <w:r>
        <w:t xml:space="preserve"> </w:t>
      </w:r>
      <w:hyperlink w:anchor="fig-fleetmix-timeline">
        <w:r>
          <w:rPr>
            <w:rStyle w:val="Hyperlink"/>
          </w:rPr>
          <w:t xml:space="preserve">Figure 3.7</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09"/>
      </w:r>
      <w:r>
        <w:t xml:space="preserve">.</w:t>
      </w:r>
    </w:p>
    <w:bookmarkEnd w:id="110"/>
    <w:bookmarkStart w:id="111" w:name="summary-1"/>
    <w:p>
      <w:pPr>
        <w:pStyle w:val="Heading2"/>
      </w:pPr>
      <w:r>
        <w:t xml:space="preserve">3.5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 Brazil hosted proportionally more light aircraft, notably in Salvador (SBSV). At the same time, major hubs like São Paulo Guarulhos (SBGR) and Campinas (SBKP) handled substantial shares of heavy aircraft. Conversely, European airports, except Zurich (LSZH), had minimal shares of light types, with London Heathrow (EGLL), Paris Charles de Gaule (LFPG), and Frankfurt (EDDF) witnessing higher shares of heavy types. The European network demonstrated a decentralized structure with numerous international long-haul flights, while Brazil’s international and heavy air traffic was centralized in 3 primary hubs. 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1"/>
    <w:bookmarkEnd w:id="112"/>
    <w:bookmarkStart w:id="143" w:name="predictability"/>
    <w:p>
      <w:pPr>
        <w:pStyle w:val="Heading1"/>
      </w:pPr>
      <w:r>
        <w:t xml:space="preserve">4. Predictability</w:t>
      </w:r>
    </w:p>
    <w:p>
      <w:pPr>
        <w:pStyle w:val="FirstParagraph"/>
      </w:pPr>
      <w:r>
        <w:t xml:space="preserve">The preceding sections have demonstrated that both air navigation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observed at the study airports as a driving factor for predictability.</w:t>
      </w:r>
    </w:p>
    <w:bookmarkStart w:id="127" w:name="arrival-punctuality"/>
    <w:p>
      <w:pPr>
        <w:pStyle w:val="Heading2"/>
      </w:pPr>
      <w:r>
        <w:t xml:space="preserve">4.1 Arrival Punctuality</w:t>
      </w:r>
    </w:p>
    <w:p>
      <w:pPr>
        <w:pStyle w:val="FirstParagraph"/>
      </w:pPr>
      <w:hyperlink w:anchor="fig-arrival-punc">
        <w:r>
          <w:rPr>
            <w:rStyle w:val="Hyperlink"/>
          </w:rPr>
          <w:t xml:space="preserve">Figure 4.1</w:t>
        </w:r>
      </w:hyperlink>
      <w:r>
        <w:t xml:space="preserve"> </w:t>
      </w:r>
      <w:r>
        <w:t xml:space="preserve">shows the evolution of arrival punctuality for the study airports in Brazil and Europe.</w:t>
      </w:r>
      <w:r>
        <w:t xml:space="preserve"> </w:t>
      </w:r>
      <w:r>
        <w:t xml:space="preserve">When comparing both regions in 2019 and 2023,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ranges between 8-15% in Europe in 2019.</w:t>
      </w:r>
      <w:r>
        <w:t xml:space="preserve"> </w:t>
      </w:r>
      <w:r>
        <w:t xml:space="preserve">Recent studies conducted by the CGNA/DECEA show that air operators in Brazil declare flight times significantly longer than observed.</w:t>
      </w:r>
      <w:r>
        <w:t xml:space="preserve"> </w:t>
      </w:r>
      <w:r>
        <w:t xml:space="preserve">A similar behaviour is also observed in Europe.</w:t>
      </w:r>
      <w:r>
        <w:t xml:space="preserve"> </w:t>
      </w:r>
      <w:r>
        <w:t xml:space="preserve">Built-in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p>
      <w:pPr>
        <w:pStyle w:val="BodyText"/>
      </w:pPr>
      <w:r>
        <w:t xml:space="preserve">European airports saw their share of punctual flights in 2022 and 2023 decrease broadly compared to 2019, even with a more proportional distribution than the Brazilian system.</w:t>
      </w:r>
      <w:r>
        <w:t xml:space="preserve"> </w:t>
      </w:r>
      <w:r>
        <w:t xml:space="preserve">For European operators, there were two primary factors contributing the the lower performance in these two years.</w:t>
      </w:r>
      <w:r>
        <w:t xml:space="preserve"> </w:t>
      </w:r>
      <w:r>
        <w:t xml:space="preserve">The most significant is the returning and steadily growing demand, showing that the network of flights has little ability to absorb the delay of one specific delayed flight.</w:t>
      </w:r>
      <w:r>
        <w:t xml:space="preserve"> </w:t>
      </w:r>
      <w:r>
        <w:t xml:space="preserve">A pattern already observed pre-pandemic and requiring to investigate how to increase capacity across the operational aviation value chain.</w:t>
      </w:r>
      <w:r>
        <w:t xml:space="preserve"> </w:t>
      </w:r>
      <w:r>
        <w:t xml:space="preserve">The knock-on effect was amplified by local resource constraints in terms of passenger and turn-around facilitation.</w:t>
      </w:r>
      <w:r>
        <w:t xml:space="preserve"> </w:t>
      </w:r>
      <w:r>
        <w:t xml:space="preserve">The incrasing traffic demand posed challenges at many airports in Europe.</w:t>
      </w:r>
      <w:r>
        <w:t xml:space="preserve"> </w:t>
      </w:r>
      <w:r>
        <w:t xml:space="preserve">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bookmarkStart w:id="116" w:name="fig-arrival-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14" name="Picture"/>
                  <a:graphic>
                    <a:graphicData uri="http://schemas.openxmlformats.org/drawingml/2006/picture">
                      <pic:pic>
                        <pic:nvPicPr>
                          <pic:cNvPr descr="04-predictability_files/figure-docx/unnamed-chunk-5-1.png" id="115"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4.1: Evolution of arrival punctuality at study airports (2019 vs 2023)</w:t>
      </w:r>
    </w:p>
    <w:bookmarkEnd w:id="116"/>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bookmarkStart w:id="120" w:name="fig-evolution-ARR-punc"/>
            <w:r>
              <w:drawing>
                <wp:inline>
                  <wp:extent cx="5334000" cy="4267200"/>
                  <wp:effectExtent b="0" l="0" r="0" t="0"/>
                  <wp:docPr descr="" title="" id="118" name="Picture"/>
                  <a:graphic>
                    <a:graphicData uri="http://schemas.openxmlformats.org/drawingml/2006/picture">
                      <pic:pic>
                        <pic:nvPicPr>
                          <pic:cNvPr descr="04-predictability_files/figure-docx/fig-evolution-ARR-punc-1.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4.2</w:t>
            </w:r>
          </w:p>
          <w:bookmarkEnd w:id="121"/>
        </w:tc>
      </w:tr>
    </w:tbl>
    <w:p>
      <w:pPr>
        <w:pStyle w:val="BodyText"/>
      </w:pPr>
      <w:r>
        <w:t xml:space="preserve">On average, the share of flights arriving within -/+ 15 minutes of their scheduled time varies wider amongst the European study airports (c.f</w:t>
      </w:r>
      <w:r>
        <w:t xml:space="preserve"> </w:t>
      </w:r>
      <w:hyperlink w:anchor="fig-evolution-ARR-punc">
        <w:r>
          <w:rPr>
            <w:rStyle w:val="Hyperlink"/>
          </w:rPr>
          <w:t xml:space="preserve">Figure 4.2</w:t>
        </w:r>
      </w:hyperlink>
      <w:r>
        <w:t xml:space="preserve">).</w:t>
      </w:r>
      <w:r>
        <w:t xml:space="preserve"> </w:t>
      </w:r>
      <w:r>
        <w:t xml:space="preserve">The observed punctuality (and associated predictability) within the Brazilian system shows a more homogenuous pattern with a general trend towards 60% or more over the past two years.</w:t>
      </w:r>
    </w:p>
    <w:tbl>
      <w:tblPr>
        <w:tblStyle w:val="Table"/>
        <w:tblW w:type="pct" w:w="5000"/>
        <w:tblLook w:firstRow="0" w:lastRow="0" w:firstColumn="0" w:lastColumn="0" w:noHBand="0" w:noVBand="0" w:val="0000"/>
        <w:jc w:val="start"/>
        <w:tblLayout w:type="fixed"/>
      </w:tblPr>
      <w:tblGrid>
        <w:gridCol w:w="7920"/>
      </w:tblGrid>
      <w:tr>
        <w:tc>
          <w:tcPr/>
          <w:bookmarkStart w:id="125" w:name="fig-early-vs-late-arrivals"/>
          <w:p>
            <w:pPr>
              <w:pStyle w:val="Compact"/>
              <w:jc w:val="center"/>
            </w:pPr>
            <w:r>
              <w:drawing>
                <wp:inline>
                  <wp:extent cx="5334000" cy="6400800"/>
                  <wp:effectExtent b="0" l="0" r="0" t="0"/>
                  <wp:docPr descr="" title="" id="123" name="Picture"/>
                  <a:graphic>
                    <a:graphicData uri="http://schemas.openxmlformats.org/drawingml/2006/picture">
                      <pic:pic>
                        <pic:nvPicPr>
                          <pic:cNvPr descr="04-predictability_files/figure-docx/fig-early-vs-late-arrivals-1.png" id="124"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Change of share of early and late arrivals (2019 vs 2022)</w:t>
            </w:r>
          </w:p>
          <w:bookmarkEnd w:id="125"/>
        </w:tc>
      </w:tr>
    </w:tbl>
    <w:p>
      <w:pPr>
        <w:pStyle w:val="BodyText"/>
      </w:pPr>
      <w:hyperlink w:anchor="fig-early-vs-late-arrivals">
        <w:r>
          <w:rPr>
            <w:rStyle w:val="Hyperlink"/>
          </w:rPr>
          <w:t xml:space="preserve">Figure 4.3</w:t>
        </w:r>
      </w:hyperlink>
      <w:r>
        <w:t xml:space="preserve"> </w:t>
      </w:r>
      <w:r>
        <w:t xml:space="preserve">compares the share of early and late arrivals at each study airport in 2019 and 2022.</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26"/>
      </w:r>
      <w:r>
        <w:t xml:space="preserve">.</w:t>
      </w:r>
    </w:p>
    <w:bookmarkEnd w:id="127"/>
    <w:bookmarkStart w:id="141" w:name="departure-punctuality"/>
    <w:p>
      <w:pPr>
        <w:pStyle w:val="Heading2"/>
      </w:pPr>
      <w:r>
        <w:t xml:space="preserve">4.2 Departure Punctuality</w:t>
      </w:r>
    </w:p>
    <w:bookmarkStart w:id="131" w:name="fig-departure-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29" name="Picture"/>
                  <a:graphic>
                    <a:graphicData uri="http://schemas.openxmlformats.org/drawingml/2006/picture">
                      <pic:pic>
                        <pic:nvPicPr>
                          <pic:cNvPr descr="04-predictability_files/figure-docx/unnamed-chunk-11-1.png" id="13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4.4: Evolution of departure punctuality at study airports (2019 vs 2023)</w:t>
      </w:r>
    </w:p>
    <w:bookmarkEnd w:id="131"/>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4.4</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2023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in Brazil in 2023 reaches similar levels than in 2019 and outperformed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36" w:name="fig-evolution-DEP-punc"/>
          <w:p>
            <w:pPr>
              <w:pStyle w:val="Compact"/>
              <w:jc w:val="center"/>
            </w:pPr>
            <w:bookmarkStart w:id="135" w:name="fig-evolution-DEP-punc"/>
            <w:r>
              <w:drawing>
                <wp:inline>
                  <wp:extent cx="5334000" cy="4267200"/>
                  <wp:effectExtent b="0" l="0" r="0" t="0"/>
                  <wp:docPr descr="" title="" id="133" name="Picture"/>
                  <a:graphic>
                    <a:graphicData uri="http://schemas.openxmlformats.org/drawingml/2006/picture">
                      <pic:pic>
                        <pic:nvPicPr>
                          <pic:cNvPr descr="04-predictability_files/figure-docx/fig-evolution-DEP-punc-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4.5</w:t>
            </w:r>
          </w:p>
          <w:bookmarkEnd w:id="136"/>
        </w:tc>
      </w:tr>
    </w:tbl>
    <w:p>
      <w:pPr>
        <w:pStyle w:val="BodyText"/>
      </w:pPr>
      <w:hyperlink w:anchor="fig-evolution-DEP-punc">
        <w:r>
          <w:rPr>
            <w:rStyle w:val="Hyperlink"/>
          </w:rPr>
          <w:t xml:space="preserve">Figure 4.5</w:t>
        </w:r>
      </w:hyperlink>
      <w:r>
        <w:t xml:space="preserve"> </w:t>
      </w:r>
      <w:r>
        <w:t xml:space="preserve">shows the evolution of the departure punctuality window within 15 minutes of the scheduled departure time.</w:t>
      </w:r>
      <w:r>
        <w:t xml:space="preserve"> </w:t>
      </w:r>
      <w:r>
        <w:t xml:space="preserve">On average, the predictability of departing traffic is higher than for the arrival (c.f.</w:t>
      </w:r>
      <w:r>
        <w:t xml:space="preserve"> </w:t>
      </w:r>
      <w:hyperlink w:anchor="fig-evolution-ARR-punc">
        <w:r>
          <w:rPr>
            <w:rStyle w:val="Hyperlink"/>
          </w:rPr>
          <w:t xml:space="preserve">Figure 4.2</w:t>
        </w:r>
      </w:hyperlink>
      <w:r>
        <w:t xml:space="preserve">).</w:t>
      </w:r>
      <w:r>
        <w:t xml:space="preserve"> </w:t>
      </w:r>
      <w:r>
        <w:t xml:space="preserve">The trend at the Brazilian study airports shows a homogeneous behaviour for the period 2019 through 2023.</w:t>
      </w:r>
      <w:r>
        <w:t xml:space="preserve"> </w:t>
      </w:r>
      <w:r>
        <w:t xml:space="preserve">This included a higher departure punctuality within 15 minutes during the pandemic phase.</w:t>
      </w:r>
      <w:r>
        <w:t xml:space="preserve"> </w:t>
      </w:r>
      <w:r>
        <w:t xml:space="preserve">There is also evidence that the increasing post-pandemic levels put a strain on the departure punctuality performance with the level of observed performance in 2023 ranging at the same levels than pre-pandemic.</w:t>
      </w:r>
    </w:p>
    <w:p>
      <w:pPr>
        <w:pStyle w:val="BodyText"/>
      </w:pPr>
      <w:r>
        <w:t xml:space="preserve">On the European side, punctuality levels showed a sharp decrease post-COVID and are driven by the system-wide disruptions in 2022 and the ripple effects observed in 2023.</w:t>
      </w:r>
      <w:r>
        <w:t xml:space="preserve"> </w:t>
      </w:r>
      <w:r>
        <w:t xml:space="preserve">For most of the European study airports, departure predictability remained constant or improved marginally in 2023 versus 2022.</w:t>
      </w:r>
      <w:r>
        <w:t xml:space="preserve"> </w:t>
      </w:r>
      <w:r>
        <w:t xml:space="preserve">This still indicates that there exists constraints regarding the turnaround of aircraft.</w:t>
      </w:r>
      <w:r>
        <w:t xml:space="preserve"> </w:t>
      </w:r>
      <w:r>
        <w:t xml:space="preserve">While variances exist, on average the share of departures within 15 minutes of the scheduled departure time ranges below the pre-pandemic levels. It is noteworthy to recall that also 2019 has seen major restrictions in the European system.</w:t>
      </w:r>
    </w:p>
    <w:p>
      <w:pPr>
        <w:pStyle w:val="BodyText"/>
      </w:pPr>
      <w:r>
        <w:t xml:space="preserve">It is planned to investigate the underlying turnaround drivers in future editions of the comparison report.</w:t>
      </w:r>
    </w:p>
    <w:tbl>
      <w:tblPr>
        <w:tblStyle w:val="Table"/>
        <w:tblW w:type="pct" w:w="5000"/>
        <w:tblLook w:firstRow="0" w:lastRow="0" w:firstColumn="0" w:lastColumn="0" w:noHBand="0" w:noVBand="0" w:val="0000"/>
        <w:jc w:val="start"/>
        <w:tblLayout w:type="fixed"/>
      </w:tblPr>
      <w:tblGrid>
        <w:gridCol w:w="7920"/>
      </w:tblGrid>
      <w:tr>
        <w:tc>
          <w:tcPr/>
          <w:bookmarkStart w:id="140" w:name="fig-early-vs-late-departures"/>
          <w:p>
            <w:pPr>
              <w:pStyle w:val="Compact"/>
              <w:jc w:val="center"/>
            </w:pPr>
            <w:r>
              <w:drawing>
                <wp:inline>
                  <wp:extent cx="5334000" cy="4267200"/>
                  <wp:effectExtent b="0" l="0" r="0" t="0"/>
                  <wp:docPr descr="" title="" id="138" name="Picture"/>
                  <a:graphic>
                    <a:graphicData uri="http://schemas.openxmlformats.org/drawingml/2006/picture">
                      <pic:pic>
                        <pic:nvPicPr>
                          <pic:cNvPr descr="04-predictability_files/figure-docx/fig-early-vs-late-departures-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Change of share of early and late departures (2019 vs 2023)</w:t>
            </w:r>
          </w:p>
          <w:bookmarkEnd w:id="140"/>
        </w:tc>
      </w:tr>
    </w:tbl>
    <w:p>
      <w:pPr>
        <w:pStyle w:val="BodyText"/>
      </w:pPr>
      <w:r>
        <w:t xml:space="preserve">The change of the share of early and late departures in 2019 and 2022 is shown in</w:t>
      </w:r>
      <w:r>
        <w:t xml:space="preserve"> </w:t>
      </w:r>
      <w:hyperlink w:anchor="fig-early-vs-late-departures">
        <w:r>
          <w:rPr>
            <w:rStyle w:val="Hyperlink"/>
          </w:rPr>
          <w:t xml:space="preserve">Figure 4.6</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41"/>
    <w:bookmarkStart w:id="142"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further affect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arrived well ahead of schedule in Brazil.</w:t>
      </w:r>
      <w:r>
        <w:t xml:space="preserve"> </w:t>
      </w:r>
      <w:r>
        <w:t xml:space="preserve">This pattern is largely unchanged when comparing 2019 and 2023.</w:t>
      </w:r>
    </w:p>
    <w:p>
      <w:pPr>
        <w:pStyle w:val="BodyText"/>
      </w:pPr>
      <w:r>
        <w:t xml:space="preserve">The ripple effect of the low preparedness level of European airports to address the returning traffic in 2022 is well documented. It also appeared that there were prevailing resource constraints for servicing the demand in 2023.</w:t>
      </w:r>
      <w:r>
        <w:t xml:space="preserve"> </w:t>
      </w:r>
      <w:r>
        <w:t xml:space="preserve">This yielded a significant low performance in terms of departure punctuality exceeding levels observed in Brazil by a factor of 2-3.</w:t>
      </w:r>
    </w:p>
    <w:p>
      <w:pPr>
        <w:pStyle w:val="BodyText"/>
      </w:pP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42"/>
    <w:bookmarkEnd w:id="143"/>
    <w:bookmarkStart w:id="177" w:name="capacity-and-throughput"/>
    <w:p>
      <w:pPr>
        <w:pStyle w:val="Heading1"/>
      </w:pPr>
      <w:r>
        <w:t xml:space="preserve">5. Capacity and Throughput</w:t>
      </w:r>
    </w:p>
    <w:p>
      <w:pPr>
        <w:pStyle w:val="FirstParagraph"/>
      </w:pPr>
      <w:r>
        <w:t xml:space="preserve">Maintaining an optimal network flow necessitates a equilibrium between airport capacity and flight demand.</w:t>
      </w:r>
      <w:r>
        <w:t xml:space="preserve"> </w:t>
      </w:r>
      <w:r>
        <w:t xml:space="preserve">This section delves into assessing capacity and throughput using various key performance indicators (KPIs) at the airport level.</w:t>
      </w:r>
      <w:r>
        <w:t xml:space="preserve"> </w:t>
      </w:r>
      <w:r>
        <w:t xml:space="preserve">Airspace users expect sufficient capacity provision addressing the levels of demand.</w:t>
      </w:r>
      <w:r>
        <w:t xml:space="preserve"> </w:t>
      </w:r>
      <w:r>
        <w:t xml:space="preserve">With higher levels of capacity utilisation, airspace users will experience congestion and constraints (e.g. higher inefficiency, increased delay/lower punctuality and predictability).</w:t>
      </w:r>
      <w:r>
        <w:t xml:space="preserve"> </w:t>
      </w:r>
      <w:r>
        <w:t xml:space="preserve">However, planning and staffing for peak situations may come at significant costs to airspace user as well.</w:t>
      </w:r>
      <w:r>
        <w:t xml:space="preserve"> </w:t>
      </w:r>
      <w:r>
        <w:t xml:space="preserve">In that respect it is essential to understand the trade-off between capacity provision and capacity consumption (i.e. traffic demand) as it impacts the overall system performance.</w:t>
      </w:r>
      <w:r>
        <w:t xml:space="preserve"> </w:t>
      </w:r>
      <w:r>
        <w:t xml:space="preserve">Capacity and throughput analyses are therefore showing to what extent air navigation services are capable to accommodate the demand.</w:t>
      </w:r>
      <w:r>
        <w:t xml:space="preserve"> </w:t>
      </w:r>
      <w:r>
        <w:t xml:space="preserve">The previous sections showed the level of overall traffic recovery in both regions.</w:t>
      </w:r>
      <w:r>
        <w:t xml:space="preserve"> </w:t>
      </w:r>
      <w:r>
        <w:t xml:space="preserve">The increasing demand put strain on the systems and local knock-on effects amplified the uncertainty and variability of the expected traffic levels.</w:t>
      </w:r>
      <w:r>
        <w:t xml:space="preserve"> </w:t>
      </w:r>
      <w:r>
        <w:t xml:space="preserve">This chapter may therefore also highlight the flexibility of air navigation services to accommodate such distortions of the schedule.</w:t>
      </w:r>
    </w:p>
    <w:bookmarkStart w:id="152" w:name="peak-declared-capacity"/>
    <w:p>
      <w:pPr>
        <w:pStyle w:val="Heading2"/>
      </w:pPr>
      <w:r>
        <w:t xml:space="preserve">5.1 Peak Declared Capacity</w:t>
      </w:r>
    </w:p>
    <w:p>
      <w:pPr>
        <w:pStyle w:val="FirstParagraph"/>
      </w:pPr>
      <w:r>
        <w:t xml:space="preserve">Peak Declared Capacity refers to the highest movement rate (arrivals and landings) at an airport using the most favourable runway configuration under optimal conditions.</w:t>
      </w:r>
      <w:r>
        <w:t xml:space="preserve"> </w:t>
      </w:r>
      <w:r>
        <w:t xml:space="preserve">The capacity value might be subject to local or national decision-making processes.</w:t>
      </w:r>
      <w:r>
        <w:t xml:space="preserve"> </w:t>
      </w:r>
      <w:r>
        <w:t xml:space="preserve">The indicator represents the highest number of landings an airport can accept in a one-hour period.</w:t>
      </w:r>
    </w:p>
    <w:p>
      <w:pPr>
        <w:pStyle w:val="BodyText"/>
      </w:pPr>
      <w:r>
        <w:t xml:space="preserve">In both regions, peak capacity is declared by the respective authority.</w:t>
      </w:r>
      <w:r>
        <w:t xml:space="preserve"> </w:t>
      </w:r>
      <w:r>
        <w:t xml:space="preserve">In Brazil, this function is performed by DECEA.</w:t>
      </w:r>
      <w:r>
        <w:t xml:space="preserve"> </w:t>
      </w:r>
      <w:r>
        <w:t xml:space="preserve">Within the European region, the airport peak capacity is determined on a local or national level.</w:t>
      </w:r>
      <w:r>
        <w:t xml:space="preserve"> </w:t>
      </w:r>
      <w:r>
        <w:t xml:space="preserve">The processes consider local operational constraints (e.g. political caps, noise quota and abatement procedures) and infrastructure related limitations (e.g. apron/stand availability, passenger facilities).</w:t>
      </w:r>
    </w:p>
    <w:p>
      <w:pPr>
        <w:pStyle w:val="BodyText"/>
      </w:pPr>
      <w:hyperlink w:anchor="fig-capsovertime">
        <w:r>
          <w:rPr>
            <w:rStyle w:val="Hyperlink"/>
          </w:rPr>
          <w:t xml:space="preserve">Figure 5.1</w:t>
        </w:r>
      </w:hyperlink>
      <w:r>
        <w:t xml:space="preserve"> </w:t>
      </w:r>
      <w:r>
        <w:t xml:space="preserve">shows the evolution of the declared capacity for the airport services in this comparison report.</w:t>
      </w:r>
      <w:r>
        <w:t xml:space="preserve"> </w:t>
      </w:r>
      <w:r>
        <w:t xml:space="preserve">Throughout the last years, no substantial change in the peak declared capacity was observed at European airports.</w:t>
      </w:r>
      <w:r>
        <w:t xml:space="preserve"> </w:t>
      </w:r>
      <w:r>
        <w:t xml:space="preserve">In Brazil, on the other hand, 2019 and 2020 showed a revised capacity declaration at most of the Brazilian airports.</w:t>
      </w:r>
      <w:r>
        <w:t xml:space="preserve"> </w:t>
      </w:r>
      <w:r>
        <w:t xml:space="preserve">In 2018 CGNA had developed a refined method for the determination of the runway system capacity.</w:t>
      </w:r>
    </w:p>
    <w:tbl>
      <w:tblPr>
        <w:tblStyle w:val="Table"/>
        <w:tblW w:type="pct" w:w="5000"/>
        <w:tblLook w:firstRow="0" w:lastRow="0" w:firstColumn="0" w:lastColumn="0" w:noHBand="0" w:noVBand="0" w:val="0000"/>
        <w:jc w:val="start"/>
        <w:tblLayout w:type="fixed"/>
      </w:tblPr>
      <w:tblGrid>
        <w:gridCol w:w="7920"/>
      </w:tblGrid>
      <w:tr>
        <w:tc>
          <w:tcPr/>
          <w:bookmarkStart w:id="147" w:name="fig-capsovertime"/>
          <w:p>
            <w:pPr>
              <w:pStyle w:val="Compact"/>
              <w:jc w:val="center"/>
            </w:pPr>
            <w:r>
              <w:drawing>
                <wp:inline>
                  <wp:extent cx="5334000" cy="4267200"/>
                  <wp:effectExtent b="0" l="0" r="0" t="0"/>
                  <wp:docPr descr="" title="" id="145" name="Picture"/>
                  <a:graphic>
                    <a:graphicData uri="http://schemas.openxmlformats.org/drawingml/2006/picture">
                      <pic:pic>
                        <pic:nvPicPr>
                          <pic:cNvPr descr="05-capacity_and_throughput_files/figure-docx/fig-capsovertime-1.png" id="146"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Evolution of Declared Capacities at study airports.</w:t>
            </w:r>
          </w:p>
          <w:bookmarkEnd w:id="147"/>
        </w:tc>
      </w:tr>
    </w:tbl>
    <w:p>
      <w:pPr>
        <w:pStyle w:val="BodyText"/>
      </w:pPr>
      <w:r>
        <w:t xml:space="preserve">The capacity of airports (and the associated runway system) is predominantly influenced by their infrastructure.</w:t>
      </w:r>
      <w:r>
        <w:t xml:space="preserve"> </w:t>
      </w:r>
      <w:r>
        <w:t xml:space="preserve">The existence of independent parallel runways, e.g.</w:t>
      </w:r>
      <w:r>
        <w:t xml:space="preserve"> </w:t>
      </w:r>
      <w:r>
        <w:t xml:space="preserve">Brasilia (SBBR) and Munich (EDDM), can support decisively the resulting capacity.</w:t>
      </w:r>
      <w:r>
        <w:t xml:space="preserve"> </w:t>
      </w:r>
      <w:r>
        <w:t xml:space="preserve">Furthermore, operational procedures can lead to increased in airport capacity.</w:t>
      </w:r>
      <w:r>
        <w:t xml:space="preserve"> </w:t>
      </w:r>
      <w:r>
        <w:t xml:space="preserve">London Heathrow (EGLL), in the past, and Guarulhos (SBGR) in recent years show that changes in operational procedures can help the airport absorb significant traffic increases or reduce the additional sequencing time in the terminal airspace.</w:t>
      </w:r>
      <w:r>
        <w:t xml:space="preserve"> </w:t>
      </w:r>
      <w:r>
        <w:t xml:space="preserve">Guarulhos, for example, benefited from the implementation of segregated operations under VMC conditions, and Heathrow increased its capacity through the introduction of time-based separation on final.</w:t>
      </w:r>
    </w:p>
    <w:p>
      <w:pPr>
        <w:pStyle w:val="BodyText"/>
      </w:pPr>
      <w:r>
        <w:t xml:space="preserve">In this context,</w:t>
      </w:r>
      <w:r>
        <w:t xml:space="preserve"> </w:t>
      </w:r>
      <w:hyperlink w:anchor="fig-peak-declared-cpacity">
        <w:r>
          <w:rPr>
            <w:rStyle w:val="Hyperlink"/>
          </w:rPr>
          <w:t xml:space="preserve">Figure 5.2</w:t>
        </w:r>
      </w:hyperlink>
      <w:r>
        <w:t xml:space="preserve"> </w:t>
      </w:r>
      <w:r>
        <w:t xml:space="preserve">shows the declared peak capacity for the study airports.</w:t>
      </w:r>
      <w:r>
        <w:t xml:space="preserve"> </w:t>
      </w:r>
      <w:r>
        <w:t xml:space="preserve">As observable in the case of Amsterdam Schiphol (EHAM, 6 runways), the number of runways is not a direct indication of the maximum capacity.</w:t>
      </w:r>
      <w:r>
        <w:t xml:space="preserve"> </w:t>
      </w:r>
      <w:r>
        <w:t xml:space="preserve">For example, the two-runway airports Brasilia (SBBR), London Heathrow (EGLL), and Munich (EDDM) share a similar runway system layout and range above the 3-runway systems of Barcelona (LEBL) and Zurich (LSZH).</w:t>
      </w:r>
      <w:r>
        <w:t xml:space="preserve"> </w:t>
      </w:r>
      <w:r>
        <w:t xml:space="preserve">London Gatwick (EGKK) is reknown for its maximisation of its single-runway throughput.</w:t>
      </w:r>
    </w:p>
    <w:p>
      <w:pPr>
        <w:pStyle w:val="BodyText"/>
      </w:pPr>
      <w:r>
        <w:t xml:space="preserve">As mentioned above, the capacity declaration/determination process takes into account the varying local conditions and constraints.</w:t>
      </w:r>
      <w:r>
        <w:t xml:space="preserve"> </w:t>
      </w:r>
      <w:r>
        <w:t xml:space="preserve">It balances the need to accommodate growth vs policy priorities and public interests.</w:t>
      </w:r>
      <w:r>
        <w:t xml:space="preserve"> </w:t>
      </w:r>
      <w:r>
        <w:t xml:space="preserve">A potential area for further research could be a closer investigation of the operational concepts deployed and the variations of the declared capacity with the local runway system characteristics.</w:t>
      </w:r>
    </w:p>
    <w:tbl>
      <w:tblPr>
        <w:tblStyle w:val="Table"/>
        <w:tblW w:type="pct" w:w="5000"/>
        <w:tblLook w:firstRow="0" w:lastRow="0" w:firstColumn="0" w:lastColumn="0" w:noHBand="0" w:noVBand="0" w:val="0000"/>
        <w:jc w:val="start"/>
        <w:tblLayout w:type="fixed"/>
      </w:tblPr>
      <w:tblGrid>
        <w:gridCol w:w="7920"/>
      </w:tblGrid>
      <w:tr>
        <w:tc>
          <w:tcPr/>
          <w:bookmarkStart w:id="151" w:name="fig-peak-declared-cpacity"/>
          <w:p>
            <w:pPr>
              <w:pStyle w:val="Compact"/>
              <w:jc w:val="center"/>
            </w:pPr>
            <w:r>
              <w:drawing>
                <wp:inline>
                  <wp:extent cx="5334000" cy="4267200"/>
                  <wp:effectExtent b="0" l="0" r="0" t="0"/>
                  <wp:docPr descr="" title="" id="149" name="Picture"/>
                  <a:graphic>
                    <a:graphicData uri="http://schemas.openxmlformats.org/drawingml/2006/picture">
                      <pic:pic>
                        <pic:nvPicPr>
                          <pic:cNvPr descr="05-capacity_and_throughput_files/figure-docx/fig-peak-declared-cpacity-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Peak declared capacity</w:t>
            </w:r>
          </w:p>
          <w:bookmarkEnd w:id="151"/>
        </w:tc>
      </w:tr>
    </w:tbl>
    <w:bookmarkEnd w:id="152"/>
    <w:bookmarkStart w:id="157" w:name="peak-arrival-throughput"/>
    <w:p>
      <w:pPr>
        <w:pStyle w:val="Heading2"/>
      </w:pPr>
      <w:r>
        <w:t xml:space="preserve">5.2 Peak Arrival Throughput</w:t>
      </w:r>
    </w:p>
    <w:p>
      <w:pPr>
        <w:pStyle w:val="FirstParagraph"/>
      </w:pPr>
      <w:r>
        <w:t xml:space="preserve">This comparison report uses the GANP KPI to measure the peak arrival throughput as the 95th percentile of the hourly number of landings observed at an airport</w:t>
      </w:r>
      <w:r>
        <w:t xml:space="preserve"> </w:t>
      </w:r>
      <w:r>
        <w:t xml:space="preserve">(ICAO 2019a)</w:t>
      </w:r>
      <w:r>
        <w:t xml:space="preserve">.</w:t>
      </w:r>
      <w:r>
        <w:t xml:space="preserve"> </w:t>
      </w:r>
      <w:r>
        <w:t xml:space="preserve">The measure gives an indication of the achievable landing rates during</w:t>
      </w:r>
      <w:r>
        <w:t xml:space="preserve"> </w:t>
      </w:r>
      <w:r>
        <w:t xml:space="preserve">“</w:t>
      </w:r>
      <w:r>
        <w:t xml:space="preserve">busy-hours</w:t>
      </w:r>
      <w:r>
        <w:t xml:space="preserve">”</w:t>
      </w:r>
      <w:r>
        <w:t xml:space="preserve">.</w:t>
      </w:r>
      <w:r>
        <w:t xml:space="preserve"> </w:t>
      </w:r>
      <w:r>
        <w:t xml:space="preserve">It is an indication to what extent arrival traffic can be accommodated at an airport.</w:t>
      </w:r>
      <w:r>
        <w:t xml:space="preserve"> </w:t>
      </w:r>
      <w:r>
        <w:t xml:space="preserve">For congested airports, the throughput provides a measure of the effectively realized capacity.</w:t>
      </w:r>
      <w:r>
        <w:t xml:space="preserve"> </w:t>
      </w:r>
      <w:r>
        <w:t xml:space="preserve">Throughput is a measure of demand and therefore comprises already air traffic flow or sequencing measures applied by ATM or ATC in the en-route and terminal phase.</w:t>
      </w:r>
      <w:r>
        <w:t xml:space="preserve"> </w:t>
      </w:r>
      <w:r>
        <w:t xml:space="preserve">For non-congested airports, throughput serves as a measure of showing the level of (peak) demand at this airport.</w:t>
      </w:r>
    </w:p>
    <w:p>
      <w:pPr>
        <w:pStyle w:val="BodyText"/>
      </w:pPr>
      <w:hyperlink w:anchor="fig-arrival-throughput">
        <w:r>
          <w:rPr>
            <w:rStyle w:val="Hyperlink"/>
          </w:rPr>
          <w:t xml:space="preserve">Figure 5.3</w:t>
        </w:r>
      </w:hyperlink>
      <w:r>
        <w:t xml:space="preserve"> </w:t>
      </w:r>
      <w:r>
        <w:t xml:space="preserve">compares the observed annual peak arrival throughput at the study airports in Brazil and Europe.</w:t>
      </w:r>
      <w:r>
        <w:t xml:space="preserve"> </w:t>
      </w:r>
      <w:r>
        <w:t xml:space="preserve">On average, the busiest hour of the Brazilian airports under study did not suffer a significant reduction.</w:t>
      </w:r>
      <w:r>
        <w:t xml:space="preserve"> </w:t>
      </w:r>
      <w:r>
        <w:t xml:space="preserve">This signals that peak arrival demand remained fairly constant during the pandemic.</w:t>
      </w:r>
      <w:r>
        <w:t xml:space="preserve"> </w:t>
      </w:r>
      <w:r>
        <w:t xml:space="preserve">An increased arrival peak throughput was serviced at Brasilia (SBBR), Campinas (SBKP), Rio de Janeiro (SBRJ), and Confins (SBCF).</w:t>
      </w:r>
      <w:r>
        <w:t xml:space="preserve"> </w:t>
      </w:r>
      <w:r>
        <w:t xml:space="preserve">Services at Galeão (SBGL) observed a significant shift in the traffic pattern.</w:t>
      </w:r>
      <w:r>
        <w:t xml:space="preserve"> </w:t>
      </w:r>
      <w:r>
        <w:t xml:space="preserve">The peak arrival throughput fell sharply with the pandemic and has not yet recovered.</w:t>
      </w:r>
      <w:r>
        <w:t xml:space="preserve"> </w:t>
      </w:r>
      <w:r>
        <w:t xml:space="preserve">This overall picture is contrasted by the pandemic related drop of overall traffic at European airports.</w:t>
      </w:r>
      <w:r>
        <w:t xml:space="preserve"> </w:t>
      </w:r>
      <w:r>
        <w:t xml:space="preserve">The overall reduction resulted in significantly lower peak hours.</w:t>
      </w:r>
      <w:r>
        <w:t xml:space="preserve"> </w:t>
      </w:r>
      <w:r>
        <w:t xml:space="preserve">The recovery pattern is also visible in the peak arrival throughput behaviour.</w:t>
      </w:r>
    </w:p>
    <w:tbl>
      <w:tblPr>
        <w:tblStyle w:val="Table"/>
        <w:tblW w:type="pct" w:w="5000"/>
        <w:tblLook w:firstRow="0" w:lastRow="0" w:firstColumn="0" w:lastColumn="0" w:noHBand="0" w:noVBand="0" w:val="0000"/>
        <w:jc w:val="start"/>
        <w:tblLayout w:type="fixed"/>
      </w:tblPr>
      <w:tblGrid>
        <w:gridCol w:w="7920"/>
      </w:tblGrid>
      <w:tr>
        <w:tc>
          <w:tcPr/>
          <w:bookmarkStart w:id="156" w:name="fig-arrival-throughput"/>
          <w:p>
            <w:pPr>
              <w:pStyle w:val="Compact"/>
              <w:jc w:val="center"/>
            </w:pPr>
            <w:r>
              <w:drawing>
                <wp:inline>
                  <wp:extent cx="5334000" cy="4267200"/>
                  <wp:effectExtent b="0" l="0" r="0" t="0"/>
                  <wp:docPr descr="" title="" id="154" name="Picture"/>
                  <a:graphic>
                    <a:graphicData uri="http://schemas.openxmlformats.org/drawingml/2006/picture">
                      <pic:pic>
                        <pic:nvPicPr>
                          <pic:cNvPr descr="05-capacity_and_throughput_files/figure-docx/fig-arrival-throughpu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Evolution of annual arrival throughput</w:t>
            </w:r>
          </w:p>
          <w:bookmarkEnd w:id="156"/>
        </w:tc>
      </w:tr>
    </w:tbl>
    <w:bookmarkEnd w:id="157"/>
    <w:bookmarkStart w:id="162" w:name="peak-departure-throughput"/>
    <w:p>
      <w:pPr>
        <w:pStyle w:val="Heading2"/>
      </w:pPr>
      <w:r>
        <w:t xml:space="preserve">5.3 Peak Departure Throughput</w:t>
      </w:r>
    </w:p>
    <w:p>
      <w:pPr>
        <w:pStyle w:val="FirstParagraph"/>
      </w:pPr>
      <w:r>
        <w:t xml:space="preserve">In analogy to the previous section,</w:t>
      </w:r>
      <w:r>
        <w:t xml:space="preserve"> </w:t>
      </w:r>
      <w:hyperlink w:anchor="fig-departure-throughput">
        <w:r>
          <w:rPr>
            <w:rStyle w:val="Hyperlink"/>
          </w:rPr>
          <w:t xml:space="preserve">Figure 5.4</w:t>
        </w:r>
      </w:hyperlink>
      <w:r>
        <w:t xml:space="preserve"> </w:t>
      </w:r>
      <w:r>
        <w:t xml:space="preserve">shows the peak departure throughput.</w:t>
      </w:r>
      <w:r>
        <w:t xml:space="preserve"> </w:t>
      </w:r>
      <w:r>
        <w:t xml:space="preserve">The latter is determined as the 95th percentile of the hourly number of departures.</w:t>
      </w:r>
    </w:p>
    <w:p>
      <w:pPr>
        <w:pStyle w:val="BodyText"/>
      </w:pPr>
      <w:r>
        <w:t xml:space="preserve">In Brazil, and with the exemption of Galeão, an interesting trend emerged.</w:t>
      </w:r>
      <w:r>
        <w:t xml:space="preserve"> </w:t>
      </w:r>
      <w:r>
        <w:t xml:space="preserve">On average,</w:t>
      </w:r>
      <w:r>
        <w:t xml:space="preserve"> </w:t>
      </w:r>
      <w:r>
        <w:t xml:space="preserve">“</w:t>
      </w:r>
      <w:r>
        <w:t xml:space="preserve">busy hour</w:t>
      </w:r>
      <w:r>
        <w:t xml:space="preserve">”</w:t>
      </w:r>
      <w:r>
        <w:t xml:space="preserve"> </w:t>
      </w:r>
      <w:r>
        <w:t xml:space="preserve">throughput increased in comparison to the pre-pandemic levels.</w:t>
      </w:r>
      <w:r>
        <w:t xml:space="preserve"> </w:t>
      </w:r>
      <w:r>
        <w:t xml:space="preserve">In the first chapters the overall recovery and growth of air traffic demand in Brazil was shown.</w:t>
      </w:r>
      <w:r>
        <w:t xml:space="preserve"> </w:t>
      </w:r>
      <w:r>
        <w:t xml:space="preserve">With a reasonable lower departure delay performance, there exists a higher departure demand.</w:t>
      </w:r>
    </w:p>
    <w:p>
      <w:pPr>
        <w:pStyle w:val="BodyText"/>
      </w:pPr>
      <w:r>
        <w:t xml:space="preserve">The pattern at the European airports follows the arrival throughput trend and on average similar values were serviced.</w:t>
      </w:r>
      <w:r>
        <w:t xml:space="preserve"> </w:t>
      </w:r>
      <w:r>
        <w:t xml:space="preserve">This suggests widely homogeneous demand patterns and iteratively recovery of air traffic services at the European airports.</w:t>
      </w:r>
    </w:p>
    <w:tbl>
      <w:tblPr>
        <w:tblStyle w:val="Table"/>
        <w:tblW w:type="pct" w:w="5000"/>
        <w:tblLook w:firstRow="0" w:lastRow="0" w:firstColumn="0" w:lastColumn="0" w:noHBand="0" w:noVBand="0" w:val="0000"/>
        <w:jc w:val="start"/>
        <w:tblLayout w:type="fixed"/>
      </w:tblPr>
      <w:tblGrid>
        <w:gridCol w:w="7920"/>
      </w:tblGrid>
      <w:tr>
        <w:tc>
          <w:tcPr/>
          <w:bookmarkStart w:id="161" w:name="fig-departure-throughput"/>
          <w:p>
            <w:pPr>
              <w:pStyle w:val="Compact"/>
              <w:jc w:val="center"/>
            </w:pPr>
            <w:r>
              <w:drawing>
                <wp:inline>
                  <wp:extent cx="5334000" cy="4267200"/>
                  <wp:effectExtent b="0" l="0" r="0" t="0"/>
                  <wp:docPr descr="" title="" id="159" name="Picture"/>
                  <a:graphic>
                    <a:graphicData uri="http://schemas.openxmlformats.org/drawingml/2006/picture">
                      <pic:pic>
                        <pic:nvPicPr>
                          <pic:cNvPr descr="05-capacity_and_throughput_files/figure-docx/fig-departure-throughput-1.png" id="16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Evolution of departure throughput at study airports</w:t>
            </w:r>
          </w:p>
          <w:bookmarkEnd w:id="161"/>
        </w:tc>
      </w:tr>
    </w:tbl>
    <w:bookmarkEnd w:id="162"/>
    <w:bookmarkStart w:id="175" w:name="declared-capacity-and-peak-throughput"/>
    <w:p>
      <w:pPr>
        <w:pStyle w:val="Heading2"/>
      </w:pPr>
      <w:r>
        <w:t xml:space="preserve">5.4 Declared Capacity and Peak Throughput</w:t>
      </w:r>
    </w:p>
    <w:tbl>
      <w:tblPr>
        <w:tblStyle w:val="Table"/>
        <w:tblW w:type="pct" w:w="5000"/>
        <w:tblLook w:firstRow="0" w:lastRow="0" w:firstColumn="0" w:lastColumn="0" w:noHBand="0" w:noVBand="0" w:val="0000"/>
        <w:jc w:val="start"/>
        <w:tblLayout w:type="fixed"/>
      </w:tblPr>
      <w:tblGrid>
        <w:gridCol w:w="7920"/>
      </w:tblGrid>
      <w:tr>
        <w:tc>
          <w:tcPr/>
          <w:bookmarkStart w:id="166" w:name="fig-capvsthru"/>
          <w:p>
            <w:pPr>
              <w:pStyle w:val="Compact"/>
              <w:jc w:val="center"/>
            </w:pPr>
            <w:r>
              <w:drawing>
                <wp:inline>
                  <wp:extent cx="5334000" cy="4267200"/>
                  <wp:effectExtent b="0" l="0" r="0" t="0"/>
                  <wp:docPr descr="" title="" id="164" name="Picture"/>
                  <a:graphic>
                    <a:graphicData uri="http://schemas.openxmlformats.org/drawingml/2006/picture">
                      <pic:pic>
                        <pic:nvPicPr>
                          <pic:cNvPr descr="05-capacity_and_throughput_files/figure-docx/fig-capvsthru-1.png" id="165"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Comparison of declared capacity and throughput for arrival phase.</w:t>
            </w:r>
          </w:p>
          <w:bookmarkEnd w:id="166"/>
        </w:tc>
      </w:tr>
    </w:tbl>
    <w:p>
      <w:pPr>
        <w:pStyle w:val="BodyText"/>
      </w:pPr>
      <w:r>
        <w:t xml:space="preserve">Comparing the peak declared (arrival) capacity and throughput serviced at the differnt airports reveals a varying picture.</w:t>
      </w:r>
      <w:r>
        <w:t xml:space="preserve"> </w:t>
      </w:r>
      <w:r>
        <w:t xml:space="preserve">On average,</w:t>
      </w:r>
      <w:r>
        <w:t xml:space="preserve"> </w:t>
      </w:r>
      <w:hyperlink w:anchor="fig-capvsthru">
        <w:r>
          <w:rPr>
            <w:rStyle w:val="Hyperlink"/>
          </w:rPr>
          <w:t xml:space="preserve">Figure 5.5</w:t>
        </w:r>
      </w:hyperlink>
      <w:r>
        <w:t xml:space="preserve"> </w:t>
      </w:r>
      <w:r>
        <w:t xml:space="preserve">evidences that the majority of the airports do not yet observe capacity constraints.</w:t>
      </w:r>
      <w:r>
        <w:t xml:space="preserve"> </w:t>
      </w:r>
      <w:r>
        <w:t xml:space="preserve">In many instances, the achieved throughput ranges 5 to 10 flights per hour below the maximum declared capacity.</w:t>
      </w:r>
      <w:r>
        <w:t xml:space="preserve"> </w:t>
      </w:r>
      <w:r>
        <w:t xml:space="preserve">In 2023, a low utilisation was observed at Galeão (SBGL), Brasilia (SBBR), and Rome Fiumicino (LIRF) where the spread between capacity and throughput exceeds 15 flights per hour.</w:t>
      </w:r>
      <w:r>
        <w:t xml:space="preserve"> </w:t>
      </w:r>
      <w:r>
        <w:t xml:space="preserve">It is also noteworthy, that a subset of airport services operate at their maximum declared capacity (e.g. SBRJ, SBKP, LSZH).</w:t>
      </w:r>
      <w:r>
        <w:t xml:space="preserve"> </w:t>
      </w:r>
      <w:r>
        <w:t xml:space="preserve">These airports are also characterised by a combination of complexity of the aerodrome layout and operational context.</w:t>
      </w:r>
      <w:r>
        <w:t xml:space="preserve"> </w:t>
      </w:r>
      <w:r>
        <w:t xml:space="preserve">It will be interesting to study how these airports facilitate higher levels of demand.</w:t>
      </w:r>
      <w:r>
        <w:t xml:space="preserve"> </w:t>
      </w:r>
      <w:r>
        <w:t xml:space="preserve">Sao Paulo (SBSP) is the only airport that serviced a slightly higher peak arrival rate than its declared capacity suggests.</w:t>
      </w:r>
    </w:p>
    <w:p>
      <w:pPr>
        <w:pStyle w:val="BodyText"/>
      </w:pPr>
      <w:r>
        <w:t xml:space="preserve">The analysis of the spread of the declared capacity vs achieved throughput is useful.</w:t>
      </w:r>
      <w:r>
        <w:t xml:space="preserve"> </w:t>
      </w:r>
      <w:r>
        <w:t xml:space="preserve">However, it gives now indication on how often the demand reaches the declared capacity level.</w:t>
      </w:r>
    </w:p>
    <w:tbl>
      <w:tblPr>
        <w:tblStyle w:val="Table"/>
        <w:tblW w:type="pct" w:w="5000"/>
        <w:tblLook w:firstRow="0" w:lastRow="0" w:firstColumn="0" w:lastColumn="0" w:noHBand="0" w:noVBand="0" w:val="0000"/>
        <w:jc w:val="start"/>
        <w:tblLayout w:type="fixed"/>
      </w:tblPr>
      <w:tblGrid>
        <w:gridCol w:w="4356"/>
        <w:gridCol w:w="3564"/>
      </w:tblGrid>
      <w:tr>
        <w:tc>
          <w:tcPr/>
          <w:tbl>
            <w:tblPr>
              <w:tblStyle w:val="Table"/>
              <w:tblW w:type="pct" w:w="5000"/>
              <w:tblLook w:firstRow="0" w:lastRow="0" w:firstColumn="0" w:lastColumn="0" w:noHBand="0" w:noVBand="0" w:val="0000"/>
              <w:jc w:val="start"/>
              <w:tblLayout w:type="fixed"/>
            </w:tblPr>
            <w:tblGrid>
              <w:gridCol w:w="7920"/>
            </w:tblGrid>
            <w:tr>
              <w:tc>
                <w:tcPr/>
                <w:bookmarkStart w:id="170" w:name="fig-bli-pli-example"/>
                <w:p>
                  <w:pPr>
                    <w:pStyle w:val="Compact"/>
                    <w:jc w:val="center"/>
                    <w:jc w:val="left"/>
                  </w:pPr>
                  <w:r>
                    <w:drawing>
                      <wp:inline>
                        <wp:extent cx="5334000" cy="4000500"/>
                        <wp:effectExtent b="0" l="0" r="0" t="0"/>
                        <wp:docPr descr="" title="" id="168" name="Picture"/>
                        <a:graphic>
                          <a:graphicData uri="http://schemas.openxmlformats.org/drawingml/2006/picture">
                            <pic:pic>
                              <pic:nvPicPr>
                                <pic:cNvPr descr="figures/bli-pli-example.png" id="169"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5.6: Example of ordered hourly throughout in different years</w:t>
                  </w:r>
                </w:p>
                <w:bookmarkEnd w:id="170"/>
              </w:tc>
            </w:tr>
          </w:tbl>
          <w:p/>
        </w:tc>
        <w:tc>
          <w:tcPr/>
          <w:p>
            <w:pPr>
              <w:numPr>
                <w:ilvl w:val="0"/>
                <w:numId w:val="1005"/>
              </w:numPr>
              <w:pStyle w:val="Compact"/>
              <w:jc w:val="left"/>
            </w:pPr>
            <w:hyperlink w:anchor="fig-bli-pli-example">
              <w:r>
                <w:rPr>
                  <w:rStyle w:val="Hyperlink"/>
                </w:rPr>
                <w:t xml:space="preserve">Figure 5.6</w:t>
              </w:r>
            </w:hyperlink>
            <w:r>
              <w:t xml:space="preserve"> </w:t>
            </w:r>
            <w:r>
              <w:t xml:space="preserve">shows the ordered set of hourly throughputs for the past years.</w:t>
            </w:r>
          </w:p>
          <w:p>
            <w:pPr>
              <w:numPr>
                <w:ilvl w:val="0"/>
                <w:numId w:val="1005"/>
              </w:numPr>
              <w:pStyle w:val="Compact"/>
              <w:jc w:val="left"/>
            </w:pPr>
            <w:r>
              <w:t xml:space="preserve">this allows to identify when the achieved total throughput ranges above characteristics levels (i.e. base load index := 20% of max capcaity, peak load index := 80% of max capacity)</w:t>
            </w:r>
          </w:p>
        </w:tc>
      </w:tr>
    </w:tbl>
    <w:tbl>
      <w:tblPr>
        <w:tblStyle w:val="Table"/>
        <w:tblW w:type="pct" w:w="5000"/>
        <w:tblLook w:firstRow="0" w:lastRow="0" w:firstColumn="0" w:lastColumn="0" w:noHBand="0" w:noVBand="0" w:val="0000"/>
        <w:jc w:val="start"/>
        <w:tblLayout w:type="fixed"/>
      </w:tblPr>
      <w:tblGrid>
        <w:gridCol w:w="7920"/>
      </w:tblGrid>
      <w:tr>
        <w:tc>
          <w:tcPr/>
          <w:bookmarkStart w:id="174" w:name="fig-bli-pli"/>
          <w:p>
            <w:pPr>
              <w:pStyle w:val="Compact"/>
              <w:jc w:val="center"/>
            </w:pPr>
            <w:r>
              <w:drawing>
                <wp:inline>
                  <wp:extent cx="5334000" cy="4267200"/>
                  <wp:effectExtent b="0" l="0" r="0" t="0"/>
                  <wp:docPr descr="" title="" id="172" name="Picture"/>
                  <a:graphic>
                    <a:graphicData uri="http://schemas.openxmlformats.org/drawingml/2006/picture">
                      <pic:pic>
                        <pic:nvPicPr>
                          <pic:cNvPr descr="05-capacity_and_throughput_files/figure-docx/fig-bli-pli-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Capacity utilisation (base load index vs peak load index)</w:t>
            </w:r>
          </w:p>
          <w:bookmarkEnd w:id="174"/>
        </w:tc>
      </w:tr>
    </w:tbl>
    <w:p>
      <w:pPr>
        <w:pStyle w:val="BodyText"/>
      </w:pPr>
      <w:hyperlink w:anchor="fig-bli-pli">
        <w:r>
          <w:rPr>
            <w:rStyle w:val="Hyperlink"/>
          </w:rPr>
          <w:t xml:space="preserve">Figure 5.7</w:t>
        </w:r>
      </w:hyperlink>
      <w:r>
        <w:t xml:space="preserve"> </w:t>
      </w:r>
      <w:r>
        <w:t xml:space="preserve">provides an overview of the utilisation of the available capacity during the course of a year.</w:t>
      </w:r>
      <w:r>
        <w:t xml:space="preserve"> </w:t>
      </w:r>
      <w:r>
        <w:t xml:space="preserve">In Brazil, we observe a high utilisation of the capacity at Sao Paulo (SBSP) and Rio de Janeiro (SBRJ) in 2023 compared to earlier years (e.g. 2022).</w:t>
      </w:r>
      <w:r>
        <w:t xml:space="preserve"> </w:t>
      </w:r>
      <w:r>
        <w:t xml:space="preserve">However, it must be noted that both aerodromes are characterised by a relatively conservative and low capacity declaration.</w:t>
      </w:r>
      <w:r>
        <w:t xml:space="preserve"> </w:t>
      </w:r>
      <w:r>
        <w:t xml:space="preserve">The major hub in Brazil, SBGR shows a relatively high base-load-index (BLI), however rarely observed peak loads back in 2019.</w:t>
      </w:r>
      <w:r>
        <w:t xml:space="preserve"> </w:t>
      </w:r>
      <w:r>
        <w:t xml:space="preserve">The associated values for 2022 or 2023 still range below the pre-pandemic performance.</w:t>
      </w:r>
      <w:r>
        <w:t xml:space="preserve"> </w:t>
      </w:r>
      <w:r>
        <w:t xml:space="preserve">Within the European context, a high utilisation of the available system capacity was observed for London Heathrow, Frankfurt, and Gatwick in 2019 with a BLI above 0.8 and the associated PLI above 0.4 (top right quadrant).</w:t>
      </w:r>
      <w:r>
        <w:t xml:space="preserve"> </w:t>
      </w:r>
      <w:r>
        <w:t xml:space="preserve">It is noteworthy that in the European region in 2023 only London Heathrow returned to similar levels of capacity utilisation.</w:t>
      </w:r>
      <w:r>
        <w:t xml:space="preserve"> </w:t>
      </w:r>
      <w:r>
        <w:t xml:space="preserve">For the majority of European airports, the peak load index ranges relatively low.</w:t>
      </w:r>
      <w:r>
        <w:t xml:space="preserve"> </w:t>
      </w:r>
      <w:r>
        <w:t xml:space="preserve">This suggests that most of the airports operate currently concentrated short peaks or have not yet seen a return to pre-pandemic patterns.</w:t>
      </w:r>
      <w:r>
        <w:t xml:space="preserve"> </w:t>
      </w:r>
      <w:r>
        <w:t xml:space="preserve">Using a regression analysis, we can also see a difference in the trend in Europe in comparison to Brazil.</w:t>
      </w:r>
      <w:r>
        <w:t xml:space="preserve"> </w:t>
      </w:r>
      <w:r>
        <w:t xml:space="preserve">Amongst the study airports, there is a higher share of airports with a more peak operating hours than in Brazil.</w:t>
      </w:r>
      <w:r>
        <w:t xml:space="preserve"> </w:t>
      </w:r>
      <w:r>
        <w:t xml:space="preserve">This might be related to the overall role of the airports and underlying connectivity structure and demand levels already described in earlier chapters.</w:t>
      </w:r>
      <w:r>
        <w:t xml:space="preserve"> </w:t>
      </w:r>
      <w:r>
        <w:t xml:space="preserve">Future work on understanding the drivers between operational concepts and demand may reveal further characteristics of the service provision in both systems.</w:t>
      </w:r>
    </w:p>
    <w:bookmarkEnd w:id="175"/>
    <w:bookmarkStart w:id="176" w:name="summary-3"/>
    <w:p>
      <w:pPr>
        <w:pStyle w:val="Heading2"/>
      </w:pPr>
      <w:r>
        <w:t xml:space="preserve">5.5 Summary</w:t>
      </w:r>
    </w:p>
    <w:p>
      <w:pPr>
        <w:pStyle w:val="FirstParagraph"/>
      </w:pPr>
      <w:r>
        <w:t xml:space="preserve">Traffic growth in Brazil exceeds pre-pandemic levels.</w:t>
      </w:r>
      <w:r>
        <w:t xml:space="preserve"> </w:t>
      </w:r>
      <w:r>
        <w:t xml:space="preserve">In Europe demand is about to reach the pre-COVID levels.</w:t>
      </w:r>
      <w:r>
        <w:t xml:space="preserve"> </w:t>
      </w:r>
      <w:r>
        <w:t xml:space="preserve">Throughout the past years the declared capacities have not been adapted.</w:t>
      </w:r>
      <w:r>
        <w:t xml:space="preserve"> </w:t>
      </w:r>
      <w:r>
        <w:t xml:space="preserve">On average the declared peak capacities at Brazilian airports tend to be lower than in Europe.</w:t>
      </w:r>
      <w:r>
        <w:t xml:space="preserve"> </w:t>
      </w:r>
      <w:r>
        <w:t xml:space="preserve">This suggests that Brazil possesses more flexibility in accommodating the projected future growth of traffic at its major airports.</w:t>
      </w:r>
      <w:r>
        <w:t xml:space="preserve"> </w:t>
      </w:r>
      <w:r>
        <w:t xml:space="preserve">Within the European context, novel operational concepts offer the biggest growth potential, as the prevailing separation standards and capacities of the runway system provide for an upper bound.</w:t>
      </w:r>
    </w:p>
    <w:p>
      <w:pPr>
        <w:pStyle w:val="BodyText"/>
      </w:pPr>
      <w:r>
        <w:t xml:space="preserve">The observed throughput at Brazilian airports shows lower variability during the pandemic period.</w:t>
      </w:r>
      <w:r>
        <w:t xml:space="preserve"> </w:t>
      </w:r>
      <w:r>
        <w:t xml:space="preserve">This suggests that demand remained concentrated during the peak operating hours.</w:t>
      </w:r>
      <w:r>
        <w:t xml:space="preserve"> </w:t>
      </w:r>
      <w:r>
        <w:t xml:space="preserve">Comparing the utilisation of the capacity on the basis of a novel indicator reveals interesting patterns.</w:t>
      </w:r>
      <w:r>
        <w:t xml:space="preserve"> </w:t>
      </w:r>
      <w:r>
        <w:t xml:space="preserve">With SBSP being one of the most constraint aerodrome facilities, but seeing the available capacity regularly utilised across the years and reaching pre-pandemic levels.</w:t>
      </w:r>
    </w:p>
    <w:p>
      <w:pPr>
        <w:pStyle w:val="BodyText"/>
      </w:pPr>
      <w:r>
        <w:t xml:space="preserve">On average the declared arrival capacity is commensurate with the peak traffic observed at the airports.</w:t>
      </w:r>
      <w:r>
        <w:t xml:space="preserve"> </w:t>
      </w:r>
      <w:r>
        <w:t xml:space="preserve">This suggests that - at the time being - runway system capacities are not a limiting factor for servicing traffic in both regions.</w:t>
      </w:r>
      <w:r>
        <w:t xml:space="preserve"> </w:t>
      </w:r>
      <w:r>
        <w:t xml:space="preserve">It will be interesting to study to what extent the various operational procedures applied across the airport support or impede the projected recovery and growth of air traffic.</w:t>
      </w:r>
    </w:p>
    <w:bookmarkEnd w:id="176"/>
    <w:bookmarkEnd w:id="177"/>
    <w:bookmarkStart w:id="226" w:name="efficiency"/>
    <w:p>
      <w:pPr>
        <w:pStyle w:val="Heading1"/>
      </w:pPr>
      <w:r>
        <w:t xml:space="preserve">6. Efficiency</w:t>
      </w:r>
    </w:p>
    <w:p>
      <w:pPr>
        <w:pStyle w:val="FirstParagraph"/>
      </w:pPr>
      <w:r>
        <w:t xml:space="preserve">Operational efficiency is a critical component in assessing the management and execution of operations. It provides insights in the management of arrival and departure flows and the associated separation and synchronisation activities.</w:t>
      </w:r>
      <w:r>
        <w:t xml:space="preserve"> </w:t>
      </w:r>
      <w:r>
        <w:t xml:space="preserve">Inefficiencies can have an impact on user operations in terms of delays or excessive fuel burn.</w:t>
      </w:r>
      <w:r>
        <w:t xml:space="preserve"> </w:t>
      </w:r>
      <w:r>
        <w:t xml:space="preserve">In light of the previous chapters it is therefore interesting to study how the available capacity was utilised to service demand during the different flight phases.</w:t>
      </w:r>
    </w:p>
    <w:p>
      <w:pPr>
        <w:pStyle w:val="BodyText"/>
      </w:pPr>
      <w:r>
        <w:t xml:space="preserve">The measures reported in this comparison report are based on the observed travel time for surface operations (i.e. taxi-in and taxi-out) and during the arrival phase.</w:t>
      </w:r>
      <w:r>
        <w:t xml:space="preserve"> </w:t>
      </w:r>
      <w:r>
        <w:t xml:space="preserve">These travel times are compared with an associated reference time for a group of flights showing similar operational characteristics.</w:t>
      </w:r>
      <w:r>
        <w:t xml:space="preserve"> </w:t>
      </w:r>
      <w:r>
        <w:t xml:space="preserve">The determined difference (i.e. additional time) measures the level of inefficiency.</w:t>
      </w:r>
      <w:r>
        <w:t xml:space="preserve"> </w:t>
      </w:r>
      <w:r>
        <w:t xml:space="preserve">It must be noted that high performance operations will still yield a certain share of measured additional times.</w:t>
      </w:r>
      <w:r>
        <w:t xml:space="preserve"> </w:t>
      </w:r>
      <w:r>
        <w:t xml:space="preserve">Operational efficiency is therefore aiming at minimising rather than eliminating these additional times as they cannot be zero.</w:t>
      </w:r>
    </w:p>
    <w:bookmarkStart w:id="194" w:name="additional-taxi-in-time"/>
    <w:p>
      <w:pPr>
        <w:pStyle w:val="Heading2"/>
      </w:pPr>
      <w:r>
        <w:t xml:space="preserve">6.1 Additional Taxi-In Time</w:t>
      </w:r>
    </w:p>
    <w:p>
      <w:pPr>
        <w:pStyle w:val="FirstParagraph"/>
      </w:pPr>
      <w:r>
        <w:t xml:space="preserve">The additional taxi-in time measures the travel time of an arriving aircraft from its touchdown, i.e. the actual landing time, to its stand/gate position, i.e. actual in-block time).</w:t>
      </w:r>
      <w:r>
        <w:t xml:space="preserve"> </w:t>
      </w:r>
      <w:r>
        <w:t xml:space="preserve">This elapsed taxi-in time is compared to an anticipated reference time for aircraft arriving at the same runway and taxiing to the same (group of) stand/gate position(s).</w:t>
      </w:r>
      <w:r>
        <w:t xml:space="preserve"> </w:t>
      </w:r>
      <w:r>
        <w:t xml:space="preserve">Research showed that the taxi-times are not dependent on the type of aircraft.</w:t>
      </w:r>
      <w:r>
        <w:t xml:space="preserve"> </w:t>
      </w:r>
      <w:r>
        <w:t xml:space="preserve">The additional taxi-in time indicator provides a measure of the management of inbound surface traffic.</w:t>
      </w:r>
    </w:p>
    <w:p>
      <w:pPr>
        <w:pStyle w:val="BodyText"/>
      </w:pPr>
      <w:r>
        <w:t xml:space="preserve">This report utilises another source for the movement times at Brazilian airports.</w:t>
      </w:r>
      <w:r>
        <w:t xml:space="preserve"> </w:t>
      </w:r>
      <w:r>
        <w:t xml:space="preserve">Next to the actual taxi-times, the new data source provides also gate/stand information.</w:t>
      </w:r>
      <w:r>
        <w:t xml:space="preserve"> </w:t>
      </w:r>
      <w:r>
        <w:t xml:space="preserve">Accordingly, additional taxi-times can be now determined on a per-gate basis.</w:t>
      </w:r>
      <w:r>
        <w:t xml:space="preserve"> </w:t>
      </w:r>
      <w:r>
        <w:t xml:space="preserve">Previous studies did not support this higher level of granularity.</w:t>
      </w:r>
      <w:r>
        <w:t xml:space="preserve"> </w:t>
      </w:r>
      <w:r>
        <w:t xml:space="preserve">The reader needs therefore to bear in mind that the reported results and trends differ from previous reports which were based on an airport-wide aggregation.</w:t>
      </w:r>
      <w:r>
        <w:t xml:space="preserve"> </w:t>
      </w:r>
      <w:r>
        <w:t xml:space="preserve">The latter may be influenced by the predominant runway system configuration and frequently used stand/parking positions.</w:t>
      </w:r>
    </w:p>
    <w:bookmarkStart w:id="184" w:name="X21738602aae6a38840c6e2d433da543fd5349f7"/>
    <w:p>
      <w:pPr>
        <w:pStyle w:val="Heading3"/>
      </w:pPr>
      <w:r>
        <w:t xml:space="preserve">6.1.1 Annual Evolution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1" w:name="fig-txit-annual"/>
          <w:p>
            <w:pPr>
              <w:pStyle w:val="Compact"/>
              <w:jc w:val="center"/>
            </w:pPr>
            <w:r>
              <w:drawing>
                <wp:inline>
                  <wp:extent cx="5334000" cy="4267200"/>
                  <wp:effectExtent b="0" l="0" r="0" t="0"/>
                  <wp:docPr descr="" title="" id="179" name="Picture"/>
                  <a:graphic>
                    <a:graphicData uri="http://schemas.openxmlformats.org/drawingml/2006/picture">
                      <pic:pic>
                        <pic:nvPicPr>
                          <pic:cNvPr descr="06-efficiency_files/figure-docx/fig-txit-annual-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Additional taxi-in time (2019-2023)</w:t>
            </w:r>
          </w:p>
          <w:bookmarkEnd w:id="181"/>
        </w:tc>
      </w:tr>
    </w:tbl>
    <w:p>
      <w:pPr>
        <w:pStyle w:val="BodyText"/>
      </w:pPr>
      <w:r>
        <w:t xml:space="preserve">The annual development of the average additional taxi-in times at the study airports is depicted by</w:t>
      </w:r>
      <w:r>
        <w:t xml:space="preserve"> </w:t>
      </w:r>
      <w:hyperlink w:anchor="fig-txit-annual">
        <w:r>
          <w:rPr>
            <w:rStyle w:val="Hyperlink"/>
          </w:rPr>
          <w:t xml:space="preserve">Figure 6.1</w:t>
        </w:r>
      </w:hyperlink>
      <w:r>
        <w:t xml:space="preserve">.</w:t>
      </w:r>
      <w:r>
        <w:t xml:space="preserve"> </w:t>
      </w:r>
      <w:r>
        <w:t xml:space="preserve">The indicator varies across the different airports.</w:t>
      </w:r>
      <w:r>
        <w:t xml:space="preserve"> </w:t>
      </w:r>
      <w:r>
        <w:t xml:space="preserve">A threshold of 2 minutes per arrival emerges as an upper bound for the taxi-in performance.</w:t>
      </w:r>
    </w:p>
    <w:p>
      <w:pPr>
        <w:pStyle w:val="BodyText"/>
      </w:pPr>
      <w:r>
        <w:t xml:space="preserve">On average, taxi-in performance in Brazil ranged in 2022 well below this 2-minute-threshold for the majority of the airports.</w:t>
      </w:r>
      <w:r>
        <w:t xml:space="preserve"> </w:t>
      </w:r>
      <w:r>
        <w:t xml:space="preserve">In general, taxi-in performance at Brazilian airports improved over the period 2019 to 2022</w:t>
      </w:r>
      <w:r>
        <w:rPr>
          <w:rStyle w:val="FootnoteReference"/>
        </w:rPr>
        <w:footnoteReference w:id="182"/>
      </w:r>
      <w:r>
        <w:t xml:space="preserve">.</w:t>
      </w:r>
      <w:r>
        <w:t xml:space="preserve"> </w:t>
      </w:r>
      <w:r>
        <w:t xml:space="preserve">However, taxi-in performance decreased in 2023 at all studied airports.</w:t>
      </w:r>
      <w:r>
        <w:t xml:space="preserve"> </w:t>
      </w:r>
      <w:r>
        <w:t xml:space="preserve">The pandemic-related drop in surface movements and pressure on the ground infrastructure is visible for the major hubs, i.e. Sao Paulo’s (SBGR), Rio de Janeiro’s Galeão (SBGL), Campinas (SBKP).</w:t>
      </w:r>
      <w:r>
        <w:t xml:space="preserve"> </w:t>
      </w:r>
      <w:r>
        <w:t xml:space="preserve">Taxi-in performance at Campinas remained fairly constant ranging around 2.5 min/arr across the years with a discernible reduction in 2021.</w:t>
      </w:r>
      <w:r>
        <w:t xml:space="preserve"> </w:t>
      </w:r>
      <w:r>
        <w:t xml:space="preserve">The picture at SBGL and SBGR is more varied.</w:t>
      </w:r>
      <w:r>
        <w:t xml:space="preserve"> </w:t>
      </w:r>
      <w:r>
        <w:t xml:space="preserve">Taxi-in performance improved by about 1.5 min/arr comparing the pre-pandemic year 2019 with the performance observed in 2022.</w:t>
      </w:r>
      <w:r>
        <w:t xml:space="preserve"> </w:t>
      </w:r>
      <w:r>
        <w:t xml:space="preserve">While the observed taxi-in inefficiencies in 2023 remained stable in SBGL, an increasing trend is observed in SBGR (which is the busiest airport in Brazil).</w:t>
      </w:r>
    </w:p>
    <w:p>
      <w:pPr>
        <w:pStyle w:val="BodyText"/>
      </w:pPr>
      <w:r>
        <w:t xml:space="preserve">In Europe, the average additional taxi-in times ranged generally below the 2-minute-threshold for most of the study airports</w:t>
      </w:r>
      <w:r>
        <w:t xml:space="preserve"> </w:t>
      </w:r>
      <w:r>
        <w:rPr>
          <w:rStyle w:val="FootnoteReference"/>
        </w:rPr>
        <w:footnoteReference w:id="183"/>
      </w:r>
      <w:r>
        <w:t xml:space="preserve">.</w:t>
      </w:r>
      <w:r>
        <w:t xml:space="preserve"> </w:t>
      </w:r>
      <w:r>
        <w:t xml:space="preserve">Amongst the European study airports, Rome Fiumicino (LIRF) and London Heathrow (EGLL) showed regularly higher levels of inefficiency during the taxi-in phase.</w:t>
      </w:r>
      <w:r>
        <w:t xml:space="preserve"> </w:t>
      </w:r>
      <w:r>
        <w:t xml:space="preserve">Taxi-in performance deteriorated in London Heathrow (EGLL) in 2022 ranging just under 5 minutes per arrival and exceeding the pro-COVID performance by about 2 minutes per incoming flight.</w:t>
      </w:r>
      <w:r>
        <w:t xml:space="preserve"> </w:t>
      </w:r>
      <w:r>
        <w:t xml:space="preserve">In 2023, the average additional taxi-in improved by about 1 minute per arrival.</w:t>
      </w:r>
      <w:r>
        <w:t xml:space="preserve"> </w:t>
      </w:r>
      <w:r>
        <w:t xml:space="preserve">Rome Fiumicino observed a stable taxi-in performance ranging above 2.5 minutes per arrival.</w:t>
      </w:r>
      <w:r>
        <w:t xml:space="preserve"> </w:t>
      </w:r>
      <w:r>
        <w:t xml:space="preserve">This suggests that the complexity of the aerodrome layout requires a higher effort to deconflict arrivals from other arrivals or taxiing departures.</w:t>
      </w:r>
      <w:r>
        <w:t xml:space="preserve"> </w:t>
      </w:r>
      <w:r>
        <w:t xml:space="preserve">Taxi-in performance in 2023 dropped further at LIRF to just under 3 minutes per arrival.</w:t>
      </w:r>
      <w:r>
        <w:t xml:space="preserve"> </w:t>
      </w:r>
      <w:r>
        <w:t xml:space="preserve">Several airports in Europe showed higher or less improved additional taxi-in times during the pandemic years.</w:t>
      </w:r>
      <w:r>
        <w:t xml:space="preserve"> </w:t>
      </w:r>
      <w:r>
        <w:t xml:space="preserve">This is related to the fact that airports closed down portions of the infrastructure (e.g. terminals) to account for the lower demand in air traffic.</w:t>
      </w:r>
      <w:r>
        <w:t xml:space="preserve"> </w:t>
      </w:r>
      <w:r>
        <w:t xml:space="preserve">In some cases, this resulted in less favourable runway and gate/stand combinations.</w:t>
      </w:r>
      <w:r>
        <w:t xml:space="preserve"> </w:t>
      </w:r>
      <w:r>
        <w:t xml:space="preserve">In Europe, the year 2022 is also characterised by a surge in delays due to the returning demand for air travel.</w:t>
      </w:r>
      <w:r>
        <w:t xml:space="preserve"> </w:t>
      </w:r>
      <w:r>
        <w:t xml:space="preserve">Associated ripple effects were still observed in 2023.</w:t>
      </w:r>
      <w:r>
        <w:t xml:space="preserve"> </w:t>
      </w:r>
      <w:r>
        <w:t xml:space="preserve">The lower punctuality also posed challenges for arriving traffic as incoming flights had to be serviced to other gates/stands to deconflict from delayed departures.</w:t>
      </w:r>
      <w:r>
        <w:t xml:space="preserve"> </w:t>
      </w:r>
      <w:r>
        <w:t xml:space="preserve">The latter phenomenon shows more clearly for the major hubs amongst the study airports.</w:t>
      </w:r>
    </w:p>
    <w:bookmarkEnd w:id="184"/>
    <w:bookmarkStart w:id="193" w:name="X37d572d25279968581e7fe5f14c7b9cabd407f7"/>
    <w:p>
      <w:pPr>
        <w:pStyle w:val="Heading3"/>
      </w:pPr>
      <w:r>
        <w:t xml:space="preserve">6.1.2 Monthly Variation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8" w:name="fig-bra-txit-timeline"/>
          <w:p>
            <w:pPr>
              <w:pStyle w:val="Compact"/>
              <w:jc w:val="center"/>
            </w:pPr>
            <w:r>
              <w:drawing>
                <wp:inline>
                  <wp:extent cx="5334000" cy="4267200"/>
                  <wp:effectExtent b="0" l="0" r="0" t="0"/>
                  <wp:docPr descr="" title="" id="186" name="Picture"/>
                  <a:graphic>
                    <a:graphicData uri="http://schemas.openxmlformats.org/drawingml/2006/picture">
                      <pic:pic>
                        <pic:nvPicPr>
                          <pic:cNvPr descr="06-efficiency_files/figure-docx/fig-bra-txit-timeline-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Evolution of average additional taxi-in time at Brazilian airports</w:t>
            </w:r>
          </w:p>
          <w:bookmarkEnd w:id="188"/>
        </w:tc>
      </w:tr>
    </w:tbl>
    <w:tbl>
      <w:tblPr>
        <w:tblStyle w:val="Table"/>
        <w:tblW w:type="pct" w:w="5000"/>
        <w:tblLook w:firstRow="0" w:lastRow="0" w:firstColumn="0" w:lastColumn="0" w:noHBand="0" w:noVBand="0" w:val="0000"/>
        <w:jc w:val="start"/>
        <w:tblLayout w:type="fixed"/>
      </w:tblPr>
      <w:tblGrid>
        <w:gridCol w:w="7920"/>
      </w:tblGrid>
      <w:tr>
        <w:tc>
          <w:tcPr/>
          <w:bookmarkStart w:id="192" w:name="fig-eur-txit-timeline"/>
          <w:p>
            <w:pPr>
              <w:pStyle w:val="Compact"/>
              <w:jc w:val="center"/>
            </w:pPr>
            <w:r>
              <w:drawing>
                <wp:inline>
                  <wp:extent cx="5334000" cy="4267200"/>
                  <wp:effectExtent b="0" l="0" r="0" t="0"/>
                  <wp:docPr descr="" title="" id="190" name="Picture"/>
                  <a:graphic>
                    <a:graphicData uri="http://schemas.openxmlformats.org/drawingml/2006/picture">
                      <pic:pic>
                        <pic:nvPicPr>
                          <pic:cNvPr descr="06-efficiency_files/figure-docx/fig-eur-txit-timeline-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Evolution of average additional taxi-in time at European airports</w:t>
            </w:r>
          </w:p>
          <w:bookmarkEnd w:id="192"/>
        </w:tc>
      </w:tr>
    </w:tbl>
    <w:p>
      <w:pPr>
        <w:pStyle w:val="BodyText"/>
      </w:pPr>
      <w:r>
        <w:t xml:space="preserve">The evolution of the taxi-in times at the study airports in Brazil and Europe is shown in</w:t>
      </w:r>
      <w:r>
        <w:t xml:space="preserve"> </w:t>
      </w:r>
      <w:hyperlink w:anchor="fig-bra-txit-timeline">
        <w:r>
          <w:rPr>
            <w:rStyle w:val="Hyperlink"/>
          </w:rPr>
          <w:t xml:space="preserve">Figure 6.2</w:t>
        </w:r>
      </w:hyperlink>
      <w:r>
        <w:t xml:space="preserve"> </w:t>
      </w:r>
      <w:r>
        <w:t xml:space="preserve">and</w:t>
      </w:r>
      <w:r>
        <w:t xml:space="preserve"> </w:t>
      </w:r>
      <w:hyperlink w:anchor="fig-eur-txit-timeline">
        <w:r>
          <w:rPr>
            <w:rStyle w:val="Hyperlink"/>
          </w:rPr>
          <w:t xml:space="preserve">Figure 6.3</w:t>
        </w:r>
      </w:hyperlink>
      <w:r>
        <w:t xml:space="preserve">.</w:t>
      </w:r>
      <w:r>
        <w:t xml:space="preserve"> </w:t>
      </w:r>
      <w:r>
        <w:t xml:space="preserve">In</w:t>
      </w:r>
      <w:r>
        <w:t xml:space="preserve"> </w:t>
      </w:r>
      <w:hyperlink w:anchor="fig-bra-txit-timeline">
        <w:r>
          <w:rPr>
            <w:rStyle w:val="Hyperlink"/>
          </w:rPr>
          <w:t xml:space="preserve">Figure 6.2</w:t>
        </w:r>
      </w:hyperlink>
      <w:r>
        <w:t xml:space="preserve">, we can see that the variation of additional taxi-in time smoothened over time on the Brazilian side.</w:t>
      </w:r>
      <w:r>
        <w:t xml:space="preserve"> </w:t>
      </w:r>
      <w:r>
        <w:t xml:space="preserve">This effect appears to be associated broadly with the beginning of the pandemic.</w:t>
      </w:r>
      <w:r>
        <w:t xml:space="preserve"> </w:t>
      </w:r>
      <w:r>
        <w:t xml:space="preserve">Despite the significant return of demand in 2022 and continual growth in 2023, there are no significant monthly variations in the average additional time-in across the Brazilian airports.</w:t>
      </w:r>
      <w:r>
        <w:t xml:space="preserve"> </w:t>
      </w:r>
      <w:r>
        <w:t xml:space="preserve">Operations at the larger airports, e.g. Guarulhos (SBGR), Rio de Janeiro (SBRJ), Brasilia (SBBR) observed a more systematic increase of the monthly average additional taxi-in times.</w:t>
      </w:r>
      <w:r>
        <w:t xml:space="preserve"> </w:t>
      </w:r>
      <w:r>
        <w:t xml:space="preserve">These trends should be monitored for the coming period.</w:t>
      </w:r>
    </w:p>
    <w:p>
      <w:pPr>
        <w:pStyle w:val="BodyText"/>
      </w:pPr>
      <w:r>
        <w:t xml:space="preserve">The observed average additional taxi-in time varies across European airports on a monthly basis.</w:t>
      </w:r>
      <w:r>
        <w:t xml:space="preserve"> </w:t>
      </w:r>
      <w:r>
        <w:t xml:space="preserve">In general, seasonality is a strong driver for month-on-month changes, as weather or seasonal traffic demand pose additional strains on the servicing of ground movements.</w:t>
      </w:r>
      <w:r>
        <w:t xml:space="preserve"> </w:t>
      </w:r>
      <w:r>
        <w:t xml:space="preserve">To a certain degree, the pandemic period is discernible in the charts, except for Barcelona and Zurich, which showed a slight higher leve of taxi-in inefficiency.</w:t>
      </w:r>
      <w:r>
        <w:t xml:space="preserve"> </w:t>
      </w:r>
      <w:r>
        <w:t xml:space="preserve">Such less efficient average additional taxi-in times point to changes in the taxi-in procedures during the pandemic.</w:t>
      </w:r>
      <w:r>
        <w:t xml:space="preserve"> </w:t>
      </w:r>
      <w:r>
        <w:t xml:space="preserve">Also noteworthy is Heathrow’s behaviour, which showed an increase in its monthly average additional taxi-in times. This may be linked to difficulties accommodating the returning traffic. It will be interesting to study which factors impacted the significant increase in the taxi-in inefficiency.</w:t>
      </w:r>
    </w:p>
    <w:bookmarkEnd w:id="193"/>
    <w:bookmarkEnd w:id="194"/>
    <w:bookmarkStart w:id="209" w:name="taxi-out-times"/>
    <w:p>
      <w:pPr>
        <w:pStyle w:val="Heading2"/>
      </w:pPr>
      <w:r>
        <w:t xml:space="preserve">6.2 Taxi-Out Times</w:t>
      </w:r>
    </w:p>
    <w:bookmarkStart w:id="199" w:name="Xdcb196a398b0789fbb7c0fb5a8fa33a7aed408c"/>
    <w:p>
      <w:pPr>
        <w:pStyle w:val="Heading3"/>
      </w:pPr>
      <w:r>
        <w:t xml:space="preserve">6.2.1 Annual Evolution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198" w:name="fig-txot-annual"/>
          <w:p>
            <w:pPr>
              <w:pStyle w:val="Compact"/>
              <w:jc w:val="center"/>
            </w:pPr>
            <w:r>
              <w:drawing>
                <wp:inline>
                  <wp:extent cx="5334000" cy="4267200"/>
                  <wp:effectExtent b="0" l="0" r="0" t="0"/>
                  <wp:docPr descr="" title="" id="196" name="Picture"/>
                  <a:graphic>
                    <a:graphicData uri="http://schemas.openxmlformats.org/drawingml/2006/picture">
                      <pic:pic>
                        <pic:nvPicPr>
                          <pic:cNvPr descr="06-efficiency_files/figure-docx/fig-txot-annual-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Average additional taxi-out time (2019-2023)</w:t>
            </w:r>
          </w:p>
          <w:bookmarkEnd w:id="198"/>
        </w:tc>
      </w:tr>
    </w:tbl>
    <w:p>
      <w:pPr>
        <w:pStyle w:val="BodyText"/>
      </w:pPr>
      <w:r>
        <w:t xml:space="preserve">On average, higher additional times for taxi-out are observed across all airports (c.f.</w:t>
      </w:r>
      <w:r>
        <w:t xml:space="preserve"> </w:t>
      </w:r>
      <w:hyperlink w:anchor="fig-txot-annual">
        <w:r>
          <w:rPr>
            <w:rStyle w:val="Hyperlink"/>
          </w:rPr>
          <w:t xml:space="preserve">Figure 6.4</w:t>
        </w:r>
      </w:hyperlink>
      <w:r>
        <w:t xml:space="preserve">).</w:t>
      </w:r>
      <w:r>
        <w:t xml:space="preserve"> </w:t>
      </w:r>
      <w:r>
        <w:t xml:space="preserve">During the pandemic, lower traffic demand resulted in 2020 and 2021 to a significant drop of the average additional taxi-out times.</w:t>
      </w:r>
      <w:r>
        <w:t xml:space="preserve"> </w:t>
      </w:r>
      <w:r>
        <w:t xml:space="preserve">In comparison to the addtional taxi-in time, the taxi-out phase requires a higher level of management of the surface movements.</w:t>
      </w:r>
      <w:r>
        <w:t xml:space="preserve"> </w:t>
      </w:r>
      <w:r>
        <w:t xml:space="preserve">Departure procedures and flow control can impact the departure queue.</w:t>
      </w:r>
      <w:r>
        <w:t xml:space="preserve"> </w:t>
      </w:r>
      <w:r>
        <w:t xml:space="preserve">Comparing the observed taxi-out performance across all study airports (</w:t>
      </w:r>
      <w:r>
        <w:t xml:space="preserve"> </w:t>
      </w:r>
      <w:hyperlink w:anchor="fig-txot-annual">
        <w:r>
          <w:rPr>
            <w:rStyle w:val="Hyperlink"/>
          </w:rPr>
          <w:t xml:space="preserve">Figure 6.4</w:t>
        </w:r>
      </w:hyperlink>
      <w:r>
        <w:t xml:space="preserve">), the interval of two to four minutes of average additional taxi-out time can serve as a benchmark.</w:t>
      </w:r>
      <w:r>
        <w:t xml:space="preserve"> </w:t>
      </w:r>
      <w:r>
        <w:t xml:space="preserve">There is a varied picture with several airports observing additinal taxi-out times of more than 4 minutes per departure, e.g. SBSP, SBRJ, SBGR in Brazil and LIRF, EGLL, and EGKK in Europe.</w:t>
      </w:r>
      <w:r>
        <w:t xml:space="preserve"> </w:t>
      </w:r>
      <w:r>
        <w:t xml:space="preserve">In many instances the higher taxi-out times in 2022 and 2023 evidence the general increase in air traffic and the reopening of closed parts of the aerodrome infrastructure.</w:t>
      </w:r>
    </w:p>
    <w:bookmarkEnd w:id="199"/>
    <w:bookmarkStart w:id="208" w:name="X2ec65bbe6e24384a7cd30d4ee4a38ae6090c5a5"/>
    <w:p>
      <w:pPr>
        <w:pStyle w:val="Heading3"/>
      </w:pPr>
      <w:r>
        <w:t xml:space="preserve">6.2.2 Monthly Variation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203" w:name="fig-txot-monthly"/>
          <w:p>
            <w:pPr>
              <w:pStyle w:val="Compact"/>
              <w:jc w:val="center"/>
            </w:pPr>
            <w:r>
              <w:drawing>
                <wp:inline>
                  <wp:extent cx="5334000" cy="4267200"/>
                  <wp:effectExtent b="0" l="0" r="0" t="0"/>
                  <wp:docPr descr="" title="" id="201" name="Picture"/>
                  <a:graphic>
                    <a:graphicData uri="http://schemas.openxmlformats.org/drawingml/2006/picture">
                      <pic:pic>
                        <pic:nvPicPr>
                          <pic:cNvPr descr="06-efficiency_files/figure-docx/fig-txot-monthly-1.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Brazil - Monthly Evolution of taxi-out times</w:t>
            </w:r>
          </w:p>
          <w:bookmarkEnd w:id="203"/>
        </w:tc>
      </w:tr>
    </w:tbl>
    <w:p>
      <w:pPr>
        <w:pStyle w:val="BodyText"/>
      </w:pPr>
      <w:r>
        <w:t xml:space="preserve">Moving from the annual overview to the monthly level a more finegrained pattern emerges.</w:t>
      </w:r>
      <w:r>
        <w:t xml:space="preserve"> </w:t>
      </w:r>
      <w:r>
        <w:t xml:space="preserve">Within the Brazilian context taxi-out performance increased during the beginning of COVID (c.f.</w:t>
      </w:r>
      <w:r>
        <w:t xml:space="preserve"> </w:t>
      </w:r>
      <w:hyperlink w:anchor="fig-txot-monthly">
        <w:r>
          <w:rPr>
            <w:rStyle w:val="Hyperlink"/>
          </w:rPr>
          <w:t xml:space="preserve">Figure 6.5</w:t>
        </w:r>
      </w:hyperlink>
      <w:r>
        <w:t xml:space="preserve">).</w:t>
      </w:r>
      <w:r>
        <w:t xml:space="preserve"> </w:t>
      </w:r>
      <w:r>
        <w:t xml:space="preserve">The actual order of magnitude varies across the airports, however a clear reaction can be observed for the initial phase (i.e. following the WHO pandemic declaration in March).</w:t>
      </w:r>
    </w:p>
    <w:p>
      <w:pPr>
        <w:pStyle w:val="BodyText"/>
      </w:pPr>
      <w:r>
        <w:t xml:space="preserve">The reaction to the unprecedented decline in air traffic is more prominent for European airports (c.f</w:t>
      </w:r>
      <w:r>
        <w:t xml:space="preserve"> </w:t>
      </w:r>
      <w:hyperlink w:anchor="fig-txot-eur-monthly">
        <w:r>
          <w:rPr>
            <w:rStyle w:val="Hyperlink"/>
          </w:rPr>
          <w:t xml:space="preserve">Figure 6.6</w:t>
        </w:r>
      </w:hyperlink>
      <w:r>
        <w:t xml:space="preserve">).</w:t>
      </w:r>
      <w:r>
        <w:t xml:space="preserve"> </w:t>
      </w:r>
      <w:r>
        <w:t xml:space="preserve">London Heathrow (EGLL) and London Gatwick (EGKK) evidenced a strong decline of traffic and associated additional taxi-out times following the start of the pandemic.</w:t>
      </w:r>
      <w:r>
        <w:t xml:space="preserve"> </w:t>
      </w:r>
      <w:r>
        <w:t xml:space="preserve">Strong weather influences drove the taxi-out performance at Amsterdam Schiphol (EHAM), Munich (EDDM) and Zurich (LSZH) in early 2021.</w:t>
      </w:r>
    </w:p>
    <w:tbl>
      <w:tblPr>
        <w:tblStyle w:val="Table"/>
        <w:tblW w:type="pct" w:w="5000"/>
        <w:tblLook w:firstRow="0" w:lastRow="0" w:firstColumn="0" w:lastColumn="0" w:noHBand="0" w:noVBand="0" w:val="0000"/>
        <w:jc w:val="start"/>
        <w:tblLayout w:type="fixed"/>
      </w:tblPr>
      <w:tblGrid>
        <w:gridCol w:w="7920"/>
      </w:tblGrid>
      <w:tr>
        <w:tc>
          <w:tcPr/>
          <w:bookmarkStart w:id="207" w:name="fig-txot-eur-monthly"/>
          <w:p>
            <w:pPr>
              <w:pStyle w:val="Compact"/>
              <w:jc w:val="center"/>
            </w:pPr>
            <w:r>
              <w:drawing>
                <wp:inline>
                  <wp:extent cx="5334000" cy="4267200"/>
                  <wp:effectExtent b="0" l="0" r="0" t="0"/>
                  <wp:docPr descr="" title="" id="205" name="Picture"/>
                  <a:graphic>
                    <a:graphicData uri="http://schemas.openxmlformats.org/drawingml/2006/picture">
                      <pic:pic>
                        <pic:nvPicPr>
                          <pic:cNvPr descr="06-efficiency_files/figure-docx/fig-txot-eur-monthly-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Europe - Monthly Evolution of taxi-out times</w:t>
            </w:r>
          </w:p>
          <w:bookmarkEnd w:id="207"/>
        </w:tc>
      </w:tr>
    </w:tbl>
    <w:bookmarkEnd w:id="208"/>
    <w:bookmarkEnd w:id="209"/>
    <w:bookmarkStart w:id="214" w:name="X5428b4d268e295a48553862ed4f343a527093d0"/>
    <w:p>
      <w:pPr>
        <w:pStyle w:val="Heading2"/>
      </w:pPr>
      <w:r>
        <w:t xml:space="preserve">6.3 Mapping Additional Taxi-in and Taxi-out Times</w:t>
      </w:r>
    </w:p>
    <w:tbl>
      <w:tblPr>
        <w:tblStyle w:val="Table"/>
        <w:tblW w:type="pct" w:w="5000"/>
        <w:tblLook w:firstRow="0" w:lastRow="0" w:firstColumn="0" w:lastColumn="0" w:noHBand="0" w:noVBand="0" w:val="0000"/>
        <w:jc w:val="start"/>
        <w:tblLayout w:type="fixed"/>
      </w:tblPr>
      <w:tblGrid>
        <w:gridCol w:w="7920"/>
      </w:tblGrid>
      <w:tr>
        <w:tc>
          <w:tcPr/>
          <w:bookmarkStart w:id="213" w:name="fig-txot-txit-mapping"/>
          <w:p>
            <w:pPr>
              <w:pStyle w:val="Compact"/>
              <w:jc w:val="center"/>
            </w:pPr>
            <w:r>
              <w:drawing>
                <wp:inline>
                  <wp:extent cx="5334000" cy="4267200"/>
                  <wp:effectExtent b="0" l="0" r="0" t="0"/>
                  <wp:docPr descr="" title="" id="211" name="Picture"/>
                  <a:graphic>
                    <a:graphicData uri="http://schemas.openxmlformats.org/drawingml/2006/picture">
                      <pic:pic>
                        <pic:nvPicPr>
                          <pic:cNvPr descr="06-efficiency_files/figure-docx/fig-txot-txit-mapping-1.png" id="212"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Mapping of additional taxi-in and taxi-out times</w:t>
            </w:r>
          </w:p>
          <w:bookmarkEnd w:id="213"/>
        </w:tc>
      </w:tr>
    </w:tbl>
    <w:p>
      <w:pPr>
        <w:pStyle w:val="BodyText"/>
      </w:pPr>
      <w:r>
        <w:t xml:space="preserve">This analysis builds on the previous sections.</w:t>
      </w:r>
      <w:r>
        <w:t xml:space="preserve"> </w:t>
      </w:r>
      <w:hyperlink w:anchor="fig-txot-txit-mapping">
        <w:r>
          <w:rPr>
            <w:rStyle w:val="Hyperlink"/>
          </w:rPr>
          <w:t xml:space="preserve">Figure 6.7</w:t>
        </w:r>
      </w:hyperlink>
      <w:r>
        <w:t xml:space="preserve"> </w:t>
      </w:r>
      <w:r>
        <w:t xml:space="preserve">compares the relationship between the taxi-in and taxi-out performance observed pre-pandemic (i.e. 2019) with the observed performance in 2023.</w:t>
      </w:r>
      <w:r>
        <w:t xml:space="preserve"> </w:t>
      </w:r>
      <w:r>
        <w:t xml:space="preserve">It also shows that on average taxi-out operations accrued more additional time than taxi-in operations (data points range below the dotted unit line, and as shown in the previous sections).</w:t>
      </w:r>
      <w:r>
        <w:t xml:space="preserve"> </w:t>
      </w:r>
      <w:r>
        <w:t xml:space="preserve">For most of the airports, the overall performance shows a reduction in additional taxi-out times (i.e. characterised by a leftshift along the x-axis) when comparing the pre-pandemic year 2019 to 2023.</w:t>
      </w:r>
      <w:r>
        <w:t xml:space="preserve"> </w:t>
      </w:r>
      <w:r>
        <w:t xml:space="preserve">A significant improvement in taxi-in performance can be obsered in Brazil across all study airports (i.e. decreasing trend along y-axis).</w:t>
      </w:r>
      <w:r>
        <w:t xml:space="preserve"> </w:t>
      </w:r>
      <w:r>
        <w:t xml:space="preserve">This is contrasted by the behaviour in Europe.</w:t>
      </w:r>
      <w:r>
        <w:t xml:space="preserve"> </w:t>
      </w:r>
      <w:r>
        <w:t xml:space="preserve">The majority of European airports observed no significant change in their taxi-in performance (i.e. no vertical trend).</w:t>
      </w:r>
      <w:r>
        <w:t xml:space="preserve"> </w:t>
      </w:r>
      <w:r>
        <w:t xml:space="preserve">The noteworthy exemption is London Heathrow (EGLL).</w:t>
      </w:r>
      <w:r>
        <w:t xml:space="preserve"> </w:t>
      </w:r>
      <w:r>
        <w:t xml:space="preserve">EGLL faced a significant increase in average additional taxi-in time in 2023 in comparison to the pre-pandemic performance level observed in 2019.</w:t>
      </w:r>
      <w:r>
        <w:t xml:space="preserve"> </w:t>
      </w:r>
      <w:r>
        <w:t xml:space="preserve">The lower performance in terms of taxi-in is observed in</w:t>
      </w:r>
      <w:r>
        <w:t xml:space="preserve"> </w:t>
      </w:r>
      <w:hyperlink w:anchor="fig-eur-txit-timeline">
        <w:r>
          <w:rPr>
            <w:rStyle w:val="Hyperlink"/>
          </w:rPr>
          <w:t xml:space="preserve">Figure 6.3</w:t>
        </w:r>
      </w:hyperlink>
      <w:r>
        <w:t xml:space="preserve"> </w:t>
      </w:r>
      <w:r>
        <w:t xml:space="preserve">which shows a strong increase in the second half of 2023.</w:t>
      </w:r>
      <w:r>
        <w:t xml:space="preserve"> </w:t>
      </w:r>
      <w:hyperlink w:anchor="fig-txot-txit-mapping">
        <w:r>
          <w:rPr>
            <w:rStyle w:val="Hyperlink"/>
          </w:rPr>
          <w:t xml:space="preserve">Figure 6.7</w:t>
        </w:r>
      </w:hyperlink>
      <w:r>
        <w:t xml:space="preserve"> </w:t>
      </w:r>
      <w:r>
        <w:t xml:space="preserve">also shows that the overall taxi-performance in Europe tends to show lower levels of variation between pre-pandemic and post-pandemic.</w:t>
      </w:r>
      <w:r>
        <w:t xml:space="preserve"> </w:t>
      </w:r>
      <w:r>
        <w:t xml:space="preserve">Exemptions are London Heathrow (EGLL) and Rome Fiumincino (LIRF) that saw a discernible rise in taxi-in inefficiencies and exceeding the levels observed at Brazilian study airports.</w:t>
      </w:r>
    </w:p>
    <w:bookmarkEnd w:id="214"/>
    <w:bookmarkStart w:id="224" w:name="additional-time-in-terminal-airspace"/>
    <w:p>
      <w:pPr>
        <w:pStyle w:val="Heading2"/>
      </w:pPr>
      <w:r>
        <w:t xml:space="preserve">6.4 Additional Time in Terminal Airspace</w:t>
      </w:r>
    </w:p>
    <w:p>
      <w:pPr>
        <w:pStyle w:val="FirstParagraph"/>
      </w:pPr>
      <w:r>
        <w:t xml:space="preserve">The additional time in terminal airspace is calculated as the difference of the actual flying time from entering the sequencing area (i.e. 100NM radius around the airport) to the actual landing time.</w:t>
      </w:r>
      <w:r>
        <w:t xml:space="preserve"> </w:t>
      </w:r>
      <w:r>
        <w:t xml:space="preserve">Previous research and guidance suggests that reference time can be build for flights sharing similar operational characteristics (entry sector, aircraft class, and landing runway).</w:t>
      </w:r>
    </w:p>
    <w:tbl>
      <w:tblPr>
        <w:tblStyle w:val="Table"/>
        <w:tblW w:type="pct" w:w="5000"/>
        <w:tblLook w:firstRow="0" w:lastRow="0" w:firstColumn="0" w:lastColumn="0" w:noHBand="0" w:noVBand="0" w:val="0000"/>
        <w:jc w:val="start"/>
        <w:tblLayout w:type="fixed"/>
      </w:tblPr>
      <w:tblGrid>
        <w:gridCol w:w="7920"/>
      </w:tblGrid>
      <w:tr>
        <w:tc>
          <w:tcPr/>
          <w:bookmarkStart w:id="218" w:name="fig-asma"/>
          <w:p>
            <w:pPr>
              <w:pStyle w:val="Compact"/>
              <w:jc w:val="center"/>
            </w:pPr>
            <w:r>
              <w:drawing>
                <wp:inline>
                  <wp:extent cx="5334000" cy="4267200"/>
                  <wp:effectExtent b="0" l="0" r="0" t="0"/>
                  <wp:docPr descr="" title="" id="216" name="Picture"/>
                  <a:graphic>
                    <a:graphicData uri="http://schemas.openxmlformats.org/drawingml/2006/picture">
                      <pic:pic>
                        <pic:nvPicPr>
                          <pic:cNvPr descr="06-efficiency_files/figure-docx/fig-asma-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Additional time in terminal airspace</w:t>
            </w:r>
          </w:p>
          <w:bookmarkEnd w:id="218"/>
        </w:tc>
      </w:tr>
    </w:tbl>
    <w:p>
      <w:pPr>
        <w:pStyle w:val="BodyText"/>
      </w:pPr>
      <w:hyperlink w:anchor="fig-asma">
        <w:r>
          <w:rPr>
            <w:rStyle w:val="Hyperlink"/>
          </w:rPr>
          <w:t xml:space="preserve">Figure 6.8</w:t>
        </w:r>
      </w:hyperlink>
      <w:r>
        <w:t xml:space="preserve"> </w:t>
      </w:r>
      <w:r>
        <w:t xml:space="preserve">compares the annual average of additional times in terminal airspace across the study airports.</w:t>
      </w:r>
      <w:r>
        <w:t xml:space="preserve"> </w:t>
      </w:r>
      <w:r>
        <w:t xml:space="preserve">On average, the arrival flows at European airports are less constraint than in Brazil.</w:t>
      </w:r>
    </w:p>
    <w:p>
      <w:pPr>
        <w:pStyle w:val="BodyText"/>
      </w:pPr>
      <w:r>
        <w:t xml:space="preserve">At London Heathrow (EGLL) a change in the operational concept helped to reduce the excessive additional ASMA times observed pre-COVID.</w:t>
      </w:r>
      <w:r>
        <w:t xml:space="preserve"> </w:t>
      </w:r>
      <w:r>
        <w:t xml:space="preserve">It must be noted that the minimal results for both London airports (Heathrow and Gatwick) in 2021 are a data artefact.</w:t>
      </w:r>
      <w:r>
        <w:t xml:space="preserve"> </w:t>
      </w:r>
      <w:r>
        <w:t xml:space="preserve">The reference times for this study are build on the basis of the performance observed in 2019.</w:t>
      </w:r>
      <w:r>
        <w:t xml:space="preserve"> </w:t>
      </w:r>
      <w:r>
        <w:t xml:space="preserve">The lower traffic levels resulted in more efficient and shorter terminal sequencing operations. Compared to the 2019 reference times yields therefore minimal additional times.</w:t>
      </w:r>
      <w:r>
        <w:t xml:space="preserve"> </w:t>
      </w:r>
      <w:r>
        <w:t xml:space="preserve">Although there are improvements across the operations at European airports in comparison to 2019, it appears that with higher demand, procedural aspects applied before the pandmic are being reintroduced.</w:t>
      </w:r>
    </w:p>
    <w:p>
      <w:pPr>
        <w:pStyle w:val="BodyText"/>
      </w:pPr>
      <w:r>
        <w:t xml:space="preserve">During the pandemic, Brazilian aviation authorities relieved regulations for general aviation in the São Paulo Congonhas (SBSP) airport.</w:t>
      </w:r>
      <w:r>
        <w:t xml:space="preserve"> </w:t>
      </w:r>
      <w:r>
        <w:t xml:space="preserve">As this relief was still in force during the recovery in 2021 and 2022, balancing demand was difficult and caused higher additional time as the traffic increased back.</w:t>
      </w:r>
      <w:r>
        <w:t xml:space="preserve"> </w:t>
      </w:r>
      <w:r>
        <w:t xml:space="preserve">For example, in May 2022, the lack of slots, associated with the gradual increase in demand, impacted the operations of Congonhas airport (SBSP).</w:t>
      </w:r>
      <w:r>
        <w:t xml:space="preserve"> </w:t>
      </w:r>
      <w:r>
        <w:t xml:space="preserve">From June 2022, the need for slot for General aviation returned in force, but in October operations were again impacted by the amount of storms above expected for the season.</w:t>
      </w:r>
    </w:p>
    <w:p>
      <w:pPr>
        <w:pStyle w:val="BodyText"/>
      </w:pPr>
      <w:r>
        <w:t xml:space="preserve">For future reports, the data for for the assessment of the additional time in terminal airspace will be complemented for Brazil.</w:t>
      </w:r>
      <w:r>
        <w:t xml:space="preserve"> </w:t>
      </w:r>
      <w:r>
        <w:t xml:space="preserve">This will allow to better investigate the changes observed across the years.</w:t>
      </w:r>
      <w:r>
        <w:t xml:space="preserve"> </w:t>
      </w:r>
      <w:r>
        <w:rPr>
          <w:rStyle w:val="FootnoteReference"/>
        </w:rPr>
        <w:footnoteReference w:id="219"/>
      </w:r>
    </w:p>
    <w:tbl>
      <w:tblPr>
        <w:tblStyle w:val="Table"/>
        <w:tblW w:type="pct" w:w="5000"/>
        <w:tblLook w:firstRow="0" w:lastRow="0" w:firstColumn="0" w:lastColumn="0" w:noHBand="0" w:noVBand="0" w:val="0000"/>
        <w:jc w:val="start"/>
        <w:tblLayout w:type="fixed"/>
      </w:tblPr>
      <w:tblGrid>
        <w:gridCol w:w="7920"/>
      </w:tblGrid>
      <w:tr>
        <w:tc>
          <w:tcPr/>
          <w:bookmarkStart w:id="223" w:name="fig-asma-vs-traffic-volume"/>
          <w:p>
            <w:pPr>
              <w:pStyle w:val="Compact"/>
              <w:jc w:val="center"/>
            </w:pPr>
            <w:r>
              <w:drawing>
                <wp:inline>
                  <wp:extent cx="5334000" cy="4267200"/>
                  <wp:effectExtent b="0" l="0" r="0" t="0"/>
                  <wp:docPr descr="" title="" id="221" name="Picture"/>
                  <a:graphic>
                    <a:graphicData uri="http://schemas.openxmlformats.org/drawingml/2006/picture">
                      <pic:pic>
                        <pic:nvPicPr>
                          <pic:cNvPr descr="06-efficiency_files/figure-docx/fig-asma-vs-traffic-volume-1.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Comparison of additional time in terminal airspace</w:t>
            </w:r>
          </w:p>
          <w:bookmarkEnd w:id="223"/>
        </w:tc>
      </w:tr>
    </w:tbl>
    <w:p>
      <w:pPr>
        <w:pStyle w:val="BodyText"/>
      </w:pPr>
      <w:hyperlink w:anchor="fig-asma-vs-traffic-volume">
        <w:r>
          <w:rPr>
            <w:rStyle w:val="Hyperlink"/>
          </w:rPr>
          <w:t xml:space="preserve">Figure 6.9</w:t>
        </w:r>
      </w:hyperlink>
      <w:r>
        <w:t xml:space="preserve"> </w:t>
      </w:r>
      <w:r>
        <w:t xml:space="preserve">depicts the change in terms of the average additional time in terminal airspace comparing 2019 and 2022.</w:t>
      </w:r>
      <w:r>
        <w:t xml:space="preserve"> </w:t>
      </w:r>
      <w:r>
        <w:t xml:space="preserve">It must be noted that with respect to traffic, the Brazilian data set does not comprise all arriving traffic (c.f. traffic figures reported in earlier chapters).</w:t>
      </w:r>
    </w:p>
    <w:p>
      <w:pPr>
        <w:pStyle w:val="BodyText"/>
      </w:pPr>
      <w:r>
        <w:t xml:space="preserve">The comparison shows the effect of the decline of air traffic on the performance in the European region.</w:t>
      </w:r>
      <w:r>
        <w:t xml:space="preserve"> </w:t>
      </w:r>
      <w:r>
        <w:t xml:space="preserve">The contraction of demand resulted in lower observed additional times accrued by the arriving traffic.</w:t>
      </w:r>
      <w:r>
        <w:t xml:space="preserve"> </w:t>
      </w:r>
      <w:r>
        <w:t xml:space="preserve">For some airports in the Brazil region it can be observed how procedural aspects influence the additional time in terminal airspace.</w:t>
      </w:r>
      <w:r>
        <w:t xml:space="preserve"> </w:t>
      </w:r>
      <w:r>
        <w:t xml:space="preserve">For example, despite the variation of the traffic levels considered, the additional time remained fairly stable at SBGR comparing pre- and post-pandemic years.</w:t>
      </w:r>
    </w:p>
    <w:bookmarkEnd w:id="224"/>
    <w:bookmarkStart w:id="225" w:name="summary-4"/>
    <w:p>
      <w:pPr>
        <w:pStyle w:val="Heading2"/>
      </w:pPr>
      <w:r>
        <w:t xml:space="preserve">6.5 Summary</w:t>
      </w:r>
    </w:p>
    <w:p>
      <w:pPr>
        <w:pStyle w:val="FirstParagraph"/>
      </w:pPr>
      <w:r>
        <w:t xml:space="preserve">Operational efficiency provides an insight in terms of available benefit pools that can be exploited.</w:t>
      </w:r>
      <w:r>
        <w:t xml:space="preserve"> </w:t>
      </w:r>
      <w:r>
        <w:t xml:space="preserve">In light of the ongoing climate change discussion, improvements in operational efficiency are directly linked with the aircraft flying time and can help to reduce unnecessary emissions.</w:t>
      </w:r>
    </w:p>
    <w:p>
      <w:pPr>
        <w:pStyle w:val="BodyText"/>
      </w:pPr>
      <w:r>
        <w:t xml:space="preserve">Comparing the surface movement performance in Brazil and Europe shows similar trends.</w:t>
      </w:r>
      <w:r>
        <w:t xml:space="preserve"> </w:t>
      </w:r>
      <w:r>
        <w:t xml:space="preserve">On average, taxi-in operations are less constraint than taxi-out movements.</w:t>
      </w:r>
      <w:r>
        <w:t xml:space="preserve"> </w:t>
      </w:r>
      <w:r>
        <w:t xml:space="preserve">The latter observed higher additional times.</w:t>
      </w:r>
      <w:r>
        <w:t xml:space="preserve"> </w:t>
      </w:r>
      <w:r>
        <w:t xml:space="preserve">This may be subject to deconfliction of the traffic during the taxi-out phase, the establishment of the departure sequence, and holding at/close to the runway to maximise the runway utilisation.</w:t>
      </w:r>
    </w:p>
    <w:p>
      <w:pPr>
        <w:pStyle w:val="BodyText"/>
      </w:pPr>
      <w:r>
        <w:t xml:space="preserve">The analysis of the additional time in terminal airspace on the basis of the new data set for Brazil confirmed previous trends.</w:t>
      </w:r>
      <w:r>
        <w:t xml:space="preserve"> </w:t>
      </w:r>
      <w:r>
        <w:t xml:space="preserve">On average, arrival sequencing in combination with the lower capacity result in higher additional times within the terminal airspace.</w:t>
      </w:r>
      <w:r>
        <w:t xml:space="preserve"> </w:t>
      </w:r>
      <w:r>
        <w:t xml:space="preserve">It must be noted that Brazil undertook a major airspace redesign project in 2021 that influences the interface between the terminal airspace and the enroute network.</w:t>
      </w:r>
      <w:r>
        <w:t xml:space="preserve"> </w:t>
      </w:r>
      <w:r>
        <w:t xml:space="preserve">In the European region, the reduced level of air traffic resulted in lower pressure on the sequencing of arrivals.</w:t>
      </w:r>
      <w:r>
        <w:t xml:space="preserve"> </w:t>
      </w:r>
      <w:r>
        <w:t xml:space="preserve">However, the step increase between 2021 and 2022 for several airports suggests that constraints and more sequencing may come back with the increasing demand.</w:t>
      </w:r>
    </w:p>
    <w:p>
      <w:pPr>
        <w:pStyle w:val="BodyText"/>
      </w:pPr>
      <w:r>
        <w:t xml:space="preserve">It will be interesting to study in future iterations of this comparison report to what extent arrival managment concepts deployed in the different regions contribute to the observed additional times.</w:t>
      </w:r>
    </w:p>
    <w:bookmarkEnd w:id="225"/>
    <w:bookmarkEnd w:id="226"/>
    <w:bookmarkStart w:id="227" w:name="conclusions"/>
    <w:p>
      <w:pPr>
        <w:pStyle w:val="Heading1"/>
      </w:pPr>
      <w:r>
        <w:t xml:space="preserve">7. Conclusions</w:t>
      </w:r>
    </w:p>
    <w:p>
      <w:pPr>
        <w:pStyle w:val="FirstParagraph"/>
      </w:pPr>
      <w:r>
        <w:t xml:space="preserve">This third edition of the Brazil-Europe operational ANS performance comparison report builds on the joint project between the Performance Section of DECEA and the Performance Review Unit of EUROCONTROL. The collaboration aims at fostering the understanding and support the further development of approaches to measure operational performance in both regions. This report builds on a subset of indicators and metrics established under the umbrella of ICAO’s Global Air Navigation Plan</w:t>
      </w:r>
      <w:r>
        <w:t xml:space="preserve"> </w:t>
      </w:r>
      <w:r>
        <w:t xml:space="preserve">(ICAO 2019b)</w:t>
      </w:r>
      <w:r>
        <w:t xml:space="preserve">. The work is also used to showcase the application of the GANP indicators within a bi-regional and multi-regional project. DECEA and EUROCONTROL engage actively within the international community and share their findings of the bi-regional work. This iteration also comprised the integration of additional data sources on the Brazilian side. The new data sources offer to perform more fine-grained analyses of the observed operational efficiency performance. This will allow to further develop and complement the framework. The report also identified several observations and ideas for future research which pave the way ahead for augmenting the associated set of comparison analyses.</w:t>
      </w:r>
    </w:p>
    <w:p>
      <w:pPr>
        <w:pStyle w:val="BodyText"/>
      </w:pPr>
      <w:r>
        <w:t xml:space="preserve">This report kicked off by examining the commonalities and differences in terms of the organisation of air navigation services in both regions. This was complemented by investigating the air traffic demand to better understand the factors influencing operational performance. The air navigation service provision is less fragmented in Brazil than in Europe. This plays out in the total number of air traffic service units. Both regions operate a central flow management function to ensure network wide flow management.</w:t>
      </w:r>
    </w:p>
    <w:p>
      <w:pPr>
        <w:pStyle w:val="BodyText"/>
      </w:pPr>
      <w:r>
        <w:t xml:space="preserve">In terms of air traffic demand, both regions were impacted by the unprecedented decline of air traffic. Regional and global traffic restrictions resulted in different patterns. The recovery in Brazil followed a more continual path, while Europe experienced setbacks due to the variety of national and pan-European measures deployed to curb the spread of COVID. In 2022, the Brazilian system serviced more traffic than pre-pandemic. In terms of traffic volume, Europe is still lagging behind with about 85-90% of pre-pandemic network level traffic in 2022. The traffic situation is also reflected by the demand at the study airports. There is also a higher level of diversity in terms of air traffic evidenced by the share of light types serviced at the comparison airports. International traffic is more centralised in Brazil than in Europe.</w:t>
      </w:r>
    </w:p>
    <w:p>
      <w:pPr>
        <w:pStyle w:val="BodyText"/>
      </w:pPr>
      <w:r>
        <w:t xml:space="preserve">The observed punctuality in both regions was strongly influenced by the prevailing COVID-19 recovery. Particularly, Europe suffered strongly from the surge of air traffic demand in early 2022 which is evidenced by the high share of departure delays. The reactionary knock-on effect amplified further the overall punctuality performance.</w:t>
      </w:r>
    </w:p>
    <w:p>
      <w:pPr>
        <w:pStyle w:val="BodyText"/>
      </w:pPr>
      <w:r>
        <w:t xml:space="preserve">The utilisation of available runway system capacities is a fundamental enabler for high levels of operational performance. This report showed that associated capacities are commensurate with the current traffic levels. For the majority of airports, the realised throughput ranges still below the maximum declared capacities.</w:t>
      </w:r>
    </w:p>
    <w:p>
      <w:pPr>
        <w:pStyle w:val="BodyText"/>
      </w:pPr>
      <w:r>
        <w:t xml:space="preserve">Operational efficiency is measured in this report in the form of the additional time during the surface movement phases and the terminal arrival phase. On average, taxi-in operations are less constrained than taxi-out operations. The observed performance varies across the airports and timeframe. In terms of arrival management, air traffic in Brazil observed higher additional times in the terminal airspace. This report showed that the scale effect of lower air traffic are potentially masked by the effects of airspace redesign in Brazil. In the European region, it appears that the higher level of air traffic demand puts pressure on the arrival management and sequencing, and 2022 marks a return to higher additional times within the terminal airspace. Further research can help to identify drivers and performance enablers.</w:t>
      </w:r>
    </w:p>
    <w:p>
      <w:pPr>
        <w:pStyle w:val="BodyText"/>
      </w:pPr>
      <w:r>
        <w:t xml:space="preserve">This third edition of the bi-regional comparison report documents the continued technical collaboration between DECEA and EUROCONTROL. The joint work also helped to promote the approach and state-of-the-art with the international community. Both groups are contributing to the ICAO GANP Performance Expert Group and the multi-national Performance Benchmarking Working Group. The wider harmonisation of performance related data and joint refinement of the guidance material and application of the performance framework start paying dividends. For example, PBWG concluded in its most recent meeting to collaborate on topics of mutual interest for which this report supported the initial research and validation.</w:t>
      </w:r>
    </w:p>
    <w:p>
      <w:pPr>
        <w:pStyle w:val="BodyText"/>
      </w:pPr>
      <w:r>
        <w:t xml:space="preserve">A further outcome of the project is the close technical collaboration. It is planned to augment the report and its future editions with a rolling web-based monitoring, including regular updates of the underlying data. This and future reports will help to complement the time series of the measures tracked.</w:t>
      </w:r>
    </w:p>
    <w:bookmarkEnd w:id="227"/>
    <w:bookmarkStart w:id="235" w:name="references"/>
    <w:p>
      <w:pPr>
        <w:pStyle w:val="Heading1"/>
      </w:pPr>
      <w:r>
        <w:t xml:space="preserve">References</w:t>
      </w:r>
    </w:p>
    <w:bookmarkStart w:id="234" w:name="refs"/>
    <w:bookmarkStart w:id="229"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228">
        <w:r>
          <w:rPr>
            <w:rStyle w:val="Hyperlink"/>
          </w:rPr>
          <w:t xml:space="preserve">https://www.eurocontrol.int/publication/eurocontrol-specification-operational-ans-performance-monitoring</w:t>
        </w:r>
      </w:hyperlink>
      <w:r>
        <w:t xml:space="preserve">.</w:t>
      </w:r>
    </w:p>
    <w:bookmarkEnd w:id="229"/>
    <w:bookmarkStart w:id="231"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230">
        <w:r>
          <w:rPr>
            <w:rStyle w:val="Hyperlink"/>
          </w:rPr>
          <w:t xml:space="preserve">https://www.eurocontrol.int/publication/all-causes-delays-air-transport-europe-annual-2022</w:t>
        </w:r>
      </w:hyperlink>
      <w:r>
        <w:t xml:space="preserve">.</w:t>
      </w:r>
    </w:p>
    <w:bookmarkEnd w:id="231"/>
    <w:bookmarkStart w:id="232" w:name="ref-icao-doc-9750-2019"/>
    <w:p>
      <w:pPr>
        <w:pStyle w:val="Bibliography"/>
      </w:pPr>
      <w:r>
        <w:t xml:space="preserve">ICAO. 2019a.</w:t>
      </w:r>
      <w:r>
        <w:t xml:space="preserve"> </w:t>
      </w:r>
      <w:r>
        <w:rPr>
          <w:iCs/>
          <w:i/>
        </w:rPr>
        <w:t xml:space="preserve">Doc 9750, Capacity &amp; Efficiency, Global Air Navigation Plan 2016-2030</w:t>
      </w:r>
      <w:r>
        <w:t xml:space="preserve">. Sixth Edition. Montreal, Canada: International Civil Aviation Organization.</w:t>
      </w:r>
    </w:p>
    <w:bookmarkEnd w:id="232"/>
    <w:bookmarkStart w:id="233" w:name="ref-icaodoc97502019"/>
    <w:p>
      <w:pPr>
        <w:pStyle w:val="Bibliography"/>
      </w:pPr>
      <w:r>
        <w:t xml:space="preserve">———. 2019b.</w:t>
      </w:r>
      <w:r>
        <w:t xml:space="preserve"> </w:t>
      </w:r>
      <w:r>
        <w:rPr>
          <w:iCs/>
          <w:i/>
        </w:rPr>
        <w:t xml:space="preserve">Doc 9750, Capacity &amp; Efficiency, Global Air Navigation Plan 2016-2030</w:t>
      </w:r>
      <w:r>
        <w:t xml:space="preserve">. Sixth Edition. Montreal, Canada: International Civil Aviation Organization.</w:t>
      </w:r>
    </w:p>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09">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26">
    <w:p>
      <w:pPr>
        <w:pStyle w:val="FootnoteText"/>
      </w:pPr>
      <w:r>
        <w:rPr>
          <w:rStyle w:val="FootnoteReference"/>
        </w:rPr>
        <w:footnoteRef/>
      </w:r>
      <w:r>
        <w:t xml:space="preserve"> </w:t>
      </w:r>
      <w:r>
        <w:t xml:space="preserve">See CODA report at https://www.eurocontrol.int/publication/all-causes-delays-air-transport-europe-annual-2022.</w:t>
      </w:r>
    </w:p>
  </w:footnote>
  <w:footnote w:id="182">
    <w:p>
      <w:pPr>
        <w:pStyle w:val="FootnoteText"/>
      </w:pPr>
      <w:r>
        <w:rPr>
          <w:rStyle w:val="FootnoteReference"/>
        </w:rPr>
        <w:footnoteRef/>
      </w:r>
      <w:r>
        <w:t xml:space="preserve"> </w:t>
      </w:r>
      <w:r>
        <w:t xml:space="preserve">While general trends are consistent with previous reports, the changed and improved data source provides now runway and stand/gate information for taxi-in operations. This allows for a more fine-grained analysis of the additional surface movement times. Accordingly, observed (and reported) taxi-in performance values differ from the earlier reports (which are based on airport-wide reference times).</w:t>
      </w:r>
      <w:r>
        <w:t xml:space="preserve"> </w:t>
      </w:r>
    </w:p>
  </w:footnote>
  <w:footnote w:id="183">
    <w:p>
      <w:pPr>
        <w:pStyle w:val="FootnoteText"/>
      </w:pPr>
      <w:r>
        <w:rPr>
          <w:rStyle w:val="FootnoteReference"/>
        </w:rPr>
        <w:footnoteRef/>
      </w:r>
      <w:r>
        <w:t xml:space="preserve"> </w:t>
      </w:r>
      <w:r>
        <w:t xml:space="preserve">To account for the low traffic demand during the pandemic years, the European data builds on modulated reference times for the period 2019 through 2022.</w:t>
      </w:r>
      <w:r>
        <w:t xml:space="preserve"> </w:t>
      </w:r>
      <w:r>
        <w:t xml:space="preserve">This accounts for the high number of changed surface movement patterns (e.g. different runway/gate combinations infrequently or not used before the pandemic).</w:t>
      </w:r>
      <w:r>
        <w:t xml:space="preserve"> </w:t>
      </w:r>
      <w:r>
        <w:t xml:space="preserve">While the overall trend is consistent, previous reports may show differnt values for the observed surface movement performance.</w:t>
      </w:r>
    </w:p>
  </w:footnote>
  <w:footnote w:id="219">
    <w:p>
      <w:pPr>
        <w:pStyle w:val="FootnoteText"/>
      </w:pPr>
      <w:r>
        <w:rPr>
          <w:rStyle w:val="FootnoteReference"/>
        </w:rPr>
        <w:footnoteRef/>
      </w:r>
      <w:r>
        <w:t xml:space="preserve"> </w:t>
      </w:r>
      <w:r>
        <w:t xml:space="preserve">The assessment of the additional time in terminal airspace for Brazil is based on a data set starting in 2021. This may also result in reasonable small reference times and increase the measured values for Brazil. With a complemented dataset and a change of the base year for future reports, these data phenomena will be addressed.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22" Target="media/rId122.png" /><Relationship Type="http://schemas.openxmlformats.org/officeDocument/2006/relationships/image" Id="rId137" Target="media/rId137.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48" Target="media/rId148.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78" Target="media/rId17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10" Target="media/rId210.png" /><Relationship Type="http://schemas.openxmlformats.org/officeDocument/2006/relationships/image" Id="rId167" Target="media/rId16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 in Brazil and Europe</dc:title>
  <dc:creator>DECEA Performance Section, EUROCONTROL Performance Review Unit</dc:creator>
  <cp:keywords/>
  <dcterms:created xsi:type="dcterms:W3CDTF">2024-05-03T07:25:21Z</dcterms:created>
  <dcterms:modified xsi:type="dcterms:W3CDTF">2024-05-03T07:25:21Z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endice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April 2024</vt:lpwstr>
  </property>
  <property fmtid="{D5CDD505-2E9C-101B-9397-08002B2CF9AE}" pid="10" name="date-format">
    <vt:lpwstr>MMMM YYYY</vt:lpwstr>
  </property>
  <property fmtid="{D5CDD505-2E9C-101B-9397-08002B2CF9AE}" pid="11" name="download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